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606" w:rsidRPr="00BE3606" w:rsidRDefault="00BE3606" w:rsidP="001D3CBC">
      <w:pPr>
        <w:tabs>
          <w:tab w:val="clear" w:pos="567"/>
        </w:tabs>
        <w:spacing w:line="240" w:lineRule="auto"/>
        <w:rPr>
          <w:rFonts w:cs="Times New Roman"/>
          <w:b/>
          <w:sz w:val="28"/>
          <w:szCs w:val="28"/>
        </w:rPr>
      </w:pPr>
      <w:r>
        <w:rPr>
          <w:rFonts w:cs="Times New Roman"/>
          <w:b/>
          <w:bCs/>
          <w:color w:val="000000"/>
          <w:sz w:val="28"/>
          <w:szCs w:val="28"/>
        </w:rPr>
        <w:t>Green T</w:t>
      </w:r>
      <w:r w:rsidRPr="00BE3606">
        <w:rPr>
          <w:rFonts w:cs="Times New Roman"/>
          <w:b/>
          <w:bCs/>
          <w:color w:val="000000"/>
          <w:sz w:val="28"/>
          <w:szCs w:val="28"/>
        </w:rPr>
        <w:t xml:space="preserve">echnology </w:t>
      </w:r>
      <w:r>
        <w:rPr>
          <w:rFonts w:cs="Times New Roman"/>
          <w:b/>
          <w:bCs/>
          <w:color w:val="000000"/>
          <w:sz w:val="28"/>
          <w:szCs w:val="28"/>
        </w:rPr>
        <w:t>C</w:t>
      </w:r>
      <w:r w:rsidRPr="00BE3606">
        <w:rPr>
          <w:rFonts w:cs="Times New Roman"/>
          <w:b/>
          <w:bCs/>
          <w:color w:val="000000"/>
          <w:sz w:val="28"/>
          <w:szCs w:val="28"/>
        </w:rPr>
        <w:t xml:space="preserve">ontribution in </w:t>
      </w:r>
      <w:r>
        <w:rPr>
          <w:rFonts w:cs="Times New Roman"/>
          <w:b/>
          <w:bCs/>
          <w:color w:val="000000"/>
          <w:sz w:val="28"/>
          <w:szCs w:val="28"/>
        </w:rPr>
        <w:t>D</w:t>
      </w:r>
      <w:r w:rsidRPr="00BE3606">
        <w:rPr>
          <w:rFonts w:cs="Times New Roman"/>
          <w:b/>
          <w:bCs/>
          <w:color w:val="000000"/>
          <w:sz w:val="28"/>
          <w:szCs w:val="28"/>
        </w:rPr>
        <w:t xml:space="preserve">evelopment of </w:t>
      </w:r>
      <w:r>
        <w:rPr>
          <w:rFonts w:cs="Times New Roman"/>
          <w:b/>
          <w:bCs/>
          <w:color w:val="000000"/>
          <w:sz w:val="28"/>
          <w:szCs w:val="28"/>
        </w:rPr>
        <w:t>Coolant Wastewater F</w:t>
      </w:r>
      <w:r w:rsidRPr="00BE3606">
        <w:rPr>
          <w:rFonts w:cs="Times New Roman"/>
          <w:b/>
          <w:bCs/>
          <w:color w:val="000000"/>
          <w:sz w:val="28"/>
          <w:szCs w:val="28"/>
        </w:rPr>
        <w:t>iltration</w:t>
      </w:r>
    </w:p>
    <w:p w:rsidR="001D3CBC" w:rsidRPr="00345892" w:rsidRDefault="001D3CBC" w:rsidP="001D3CBC">
      <w:pPr>
        <w:tabs>
          <w:tab w:val="clear" w:pos="567"/>
        </w:tabs>
        <w:spacing w:line="240" w:lineRule="auto"/>
        <w:rPr>
          <w:sz w:val="22"/>
        </w:rPr>
      </w:pPr>
    </w:p>
    <w:p w:rsidR="00BE3606" w:rsidRPr="00BE3606" w:rsidRDefault="00BE3606" w:rsidP="00BE3606">
      <w:pPr>
        <w:autoSpaceDE w:val="0"/>
        <w:autoSpaceDN w:val="0"/>
        <w:adjustRightInd w:val="0"/>
        <w:spacing w:line="240" w:lineRule="auto"/>
        <w:jc w:val="left"/>
        <w:rPr>
          <w:rFonts w:ascii="IDBLFB+TimesNewRoman,Bold" w:hAnsi="IDBLFB+TimesNewRoman,Bold" w:cs="IDBLFB+TimesNewRoman,Bold"/>
          <w:color w:val="000000"/>
          <w:szCs w:val="24"/>
          <w:vertAlign w:val="superscript"/>
        </w:rPr>
      </w:pPr>
      <w:r w:rsidRPr="00FE0FA5">
        <w:rPr>
          <w:rFonts w:ascii="IDBLFB+TimesNewRoman,Bold" w:hAnsi="IDBLFB+TimesNewRoman,Bold" w:cs="IDBLFB+TimesNewRoman,Bold"/>
          <w:color w:val="000000"/>
          <w:szCs w:val="24"/>
        </w:rPr>
        <w:t>Erna Yuliwati</w:t>
      </w:r>
      <w:r>
        <w:rPr>
          <w:rFonts w:ascii="IDBLFB+TimesNewRoman,Bold" w:hAnsi="IDBLFB+TimesNewRoman,Bold" w:cs="IDBLFB+TimesNewRoman,Bold"/>
          <w:color w:val="000000"/>
          <w:szCs w:val="24"/>
          <w:vertAlign w:val="superscript"/>
        </w:rPr>
        <w:t>1</w:t>
      </w:r>
      <w:r w:rsidRPr="00FE0FA5">
        <w:rPr>
          <w:rFonts w:ascii="IDBLFB+TimesNewRoman,Bold" w:hAnsi="IDBLFB+TimesNewRoman,Bold" w:cs="IDBLFB+TimesNewRoman,Bold"/>
          <w:color w:val="000000"/>
          <w:szCs w:val="24"/>
        </w:rPr>
        <w:t xml:space="preserve">, </w:t>
      </w:r>
      <w:r>
        <w:rPr>
          <w:rFonts w:ascii="IDBLFB+TimesNewRoman,Bold" w:hAnsi="IDBLFB+TimesNewRoman,Bold" w:cs="IDBLFB+TimesNewRoman,Bold"/>
          <w:color w:val="000000"/>
          <w:szCs w:val="24"/>
        </w:rPr>
        <w:t>Amrifan Saladin Mohruni</w:t>
      </w:r>
      <w:r w:rsidRPr="00FE0FA5">
        <w:rPr>
          <w:rFonts w:ascii="IDBLFB+TimesNewRoman,Bold" w:hAnsi="IDBLFB+TimesNewRoman,Bold" w:cs="IDBLFB+TimesNewRoman,Bold"/>
          <w:color w:val="000000"/>
          <w:szCs w:val="24"/>
          <w:vertAlign w:val="superscript"/>
        </w:rPr>
        <w:t>2</w:t>
      </w:r>
      <w:r>
        <w:rPr>
          <w:rFonts w:ascii="IDBLFB+TimesNewRoman,Bold" w:hAnsi="IDBLFB+TimesNewRoman,Bold" w:cs="IDBLFB+TimesNewRoman,Bold"/>
          <w:color w:val="000000"/>
          <w:szCs w:val="24"/>
        </w:rPr>
        <w:t>,</w:t>
      </w:r>
      <w:r>
        <w:rPr>
          <w:rFonts w:ascii="IDBLFB+TimesNewRoman,Bold" w:hAnsi="IDBLFB+TimesNewRoman,Bold" w:cs="IDBLFB+TimesNewRoman,Bold"/>
          <w:color w:val="000000"/>
          <w:szCs w:val="24"/>
          <w:vertAlign w:val="superscript"/>
        </w:rPr>
        <w:t xml:space="preserve"> </w:t>
      </w:r>
      <w:r w:rsidRPr="00FE0FA5">
        <w:rPr>
          <w:rFonts w:ascii="IDBLFB+TimesNewRoman,Bold" w:hAnsi="IDBLFB+TimesNewRoman,Bold" w:cs="IDBLFB+TimesNewRoman,Bold"/>
          <w:color w:val="000000"/>
          <w:szCs w:val="24"/>
        </w:rPr>
        <w:t>Agung Mataram</w:t>
      </w:r>
      <w:r>
        <w:rPr>
          <w:rFonts w:ascii="IDBLFB+TimesNewRoman,Bold" w:hAnsi="IDBLFB+TimesNewRoman,Bold" w:cs="IDBLFB+TimesNewRoman,Bold"/>
          <w:color w:val="000000"/>
          <w:szCs w:val="24"/>
          <w:vertAlign w:val="superscript"/>
        </w:rPr>
        <w:t>2</w:t>
      </w:r>
    </w:p>
    <w:p w:rsidR="00BE3606" w:rsidRPr="00FE0FA5" w:rsidRDefault="00BE3606" w:rsidP="00BE3606">
      <w:pPr>
        <w:autoSpaceDE w:val="0"/>
        <w:autoSpaceDN w:val="0"/>
        <w:adjustRightInd w:val="0"/>
        <w:spacing w:line="240" w:lineRule="auto"/>
        <w:jc w:val="center"/>
        <w:rPr>
          <w:rFonts w:ascii="IDBLFB+TimesNewRoman,Bold" w:hAnsi="IDBLFB+TimesNewRoman,Bold" w:cs="IDBLFB+TimesNewRoman,Bold"/>
          <w:color w:val="000000"/>
        </w:rPr>
      </w:pPr>
    </w:p>
    <w:p w:rsidR="00BE3606" w:rsidRDefault="00BE3606" w:rsidP="00BE3606">
      <w:pPr>
        <w:autoSpaceDE w:val="0"/>
        <w:autoSpaceDN w:val="0"/>
        <w:adjustRightInd w:val="0"/>
        <w:spacing w:line="240" w:lineRule="auto"/>
        <w:jc w:val="left"/>
        <w:rPr>
          <w:rFonts w:ascii="IDBLFB+TimesNewRoman,Bold" w:hAnsi="IDBLFB+TimesNewRoman,Bold" w:cs="IDBLFB+TimesNewRoman,Bold"/>
          <w:color w:val="000000"/>
        </w:rPr>
      </w:pPr>
      <w:r w:rsidRPr="00FE0FA5">
        <w:rPr>
          <w:rFonts w:ascii="IDBLFB+TimesNewRoman,Bold" w:hAnsi="IDBLFB+TimesNewRoman,Bold" w:cs="IDBLFB+TimesNewRoman,Bold"/>
          <w:color w:val="000000"/>
          <w:vertAlign w:val="superscript"/>
        </w:rPr>
        <w:t>1</w:t>
      </w:r>
      <w:r w:rsidRPr="00FE0FA5">
        <w:rPr>
          <w:rFonts w:ascii="IDBLFB+TimesNewRoman,Bold" w:hAnsi="IDBLFB+TimesNewRoman,Bold" w:cs="IDBLFB+TimesNewRoman,Bold"/>
          <w:color w:val="000000"/>
        </w:rPr>
        <w:t>Jurusan Teknik Kimia, Fakultas Teknik Universitas Sriwijaya</w:t>
      </w:r>
      <w:r>
        <w:rPr>
          <w:rFonts w:ascii="IDBLFB+TimesNewRoman,Bold" w:hAnsi="IDBLFB+TimesNewRoman,Bold" w:cs="IDBLFB+TimesNewRoman,Bold"/>
          <w:color w:val="000000"/>
        </w:rPr>
        <w:t>,</w:t>
      </w:r>
      <w:r w:rsidRPr="00BE3606">
        <w:rPr>
          <w:rFonts w:ascii="IDBLFB+TimesNewRoman,Bold" w:hAnsi="IDBLFB+TimesNewRoman,Bold" w:cs="IDBLFB+TimesNewRoman,Bold"/>
          <w:color w:val="000000"/>
        </w:rPr>
        <w:t xml:space="preserve"> </w:t>
      </w:r>
      <w:r w:rsidRPr="00FE0FA5">
        <w:rPr>
          <w:rFonts w:ascii="IDBLFB+TimesNewRoman,Bold" w:hAnsi="IDBLFB+TimesNewRoman,Bold" w:cs="IDBLFB+TimesNewRoman,Bold"/>
          <w:color w:val="000000"/>
        </w:rPr>
        <w:t xml:space="preserve">Jalan Raya Indralaya Km.32 Indralaya </w:t>
      </w:r>
    </w:p>
    <w:p w:rsidR="00BE3606" w:rsidRDefault="00BE3606" w:rsidP="00BE3606">
      <w:pPr>
        <w:tabs>
          <w:tab w:val="clear" w:pos="567"/>
        </w:tabs>
        <w:spacing w:line="240" w:lineRule="auto"/>
        <w:rPr>
          <w:rFonts w:ascii="IDBLFB+TimesNewRoman,Bold" w:hAnsi="IDBLFB+TimesNewRoman,Bold" w:cs="IDBLFB+TimesNewRoman,Bold"/>
          <w:color w:val="000000"/>
        </w:rPr>
      </w:pPr>
      <w:r w:rsidRPr="00345892">
        <w:rPr>
          <w:sz w:val="22"/>
        </w:rPr>
        <w:t xml:space="preserve"> </w:t>
      </w:r>
      <w:r w:rsidRPr="00FE0FA5">
        <w:rPr>
          <w:rFonts w:ascii="IDBLFB+TimesNewRoman,Bold" w:hAnsi="IDBLFB+TimesNewRoman,Bold" w:cs="IDBLFB+TimesNewRoman,Bold"/>
          <w:color w:val="000000"/>
          <w:vertAlign w:val="superscript"/>
        </w:rPr>
        <w:t>2</w:t>
      </w:r>
      <w:r w:rsidRPr="00FE0FA5">
        <w:rPr>
          <w:rFonts w:ascii="IDBLFB+TimesNewRoman,Bold" w:hAnsi="IDBLFB+TimesNewRoman,Bold" w:cs="IDBLFB+TimesNewRoman,Bold"/>
          <w:color w:val="000000"/>
        </w:rPr>
        <w:t>Jurusan Teknik Mesin, Fakultas Teknik Universitas Sriwijaya</w:t>
      </w:r>
      <w:r>
        <w:rPr>
          <w:rFonts w:ascii="IDBLFB+TimesNewRoman,Bold" w:hAnsi="IDBLFB+TimesNewRoman,Bold" w:cs="IDBLFB+TimesNewRoman,Bold"/>
          <w:color w:val="000000"/>
        </w:rPr>
        <w:t xml:space="preserve">, </w:t>
      </w:r>
      <w:r w:rsidRPr="00FE0FA5">
        <w:rPr>
          <w:rFonts w:ascii="IDBLFB+TimesNewRoman,Bold" w:hAnsi="IDBLFB+TimesNewRoman,Bold" w:cs="IDBLFB+TimesNewRoman,Bold"/>
          <w:color w:val="000000"/>
        </w:rPr>
        <w:t>Jalan Raya Indralaya Km.32 Indralaya</w:t>
      </w:r>
      <w:r>
        <w:rPr>
          <w:rFonts w:ascii="IDBLFB+TimesNewRoman,Bold" w:hAnsi="IDBLFB+TimesNewRoman,Bold" w:cs="IDBLFB+TimesNewRoman,Bold"/>
          <w:color w:val="000000"/>
        </w:rPr>
        <w:t>.</w:t>
      </w:r>
    </w:p>
    <w:p w:rsidR="001D3CBC" w:rsidRPr="00345892" w:rsidRDefault="006C2FDB" w:rsidP="001D3CBC">
      <w:pPr>
        <w:tabs>
          <w:tab w:val="clear" w:pos="567"/>
        </w:tabs>
        <w:spacing w:line="240" w:lineRule="auto"/>
        <w:rPr>
          <w:i/>
          <w:sz w:val="22"/>
        </w:rPr>
      </w:pPr>
      <w:r>
        <w:rPr>
          <w:i/>
          <w:sz w:val="22"/>
        </w:rPr>
        <w:t>*Corresponding Author</w:t>
      </w:r>
      <w:r w:rsidR="001D3CBC" w:rsidRPr="00345892">
        <w:rPr>
          <w:i/>
          <w:sz w:val="22"/>
        </w:rPr>
        <w:t xml:space="preserve">: </w:t>
      </w:r>
      <w:r w:rsidR="00BE3606">
        <w:rPr>
          <w:i/>
          <w:sz w:val="22"/>
        </w:rPr>
        <w:t>erna.yuliwati@unsri.ac.id</w:t>
      </w:r>
    </w:p>
    <w:p w:rsidR="001D3CBC" w:rsidRPr="00345892" w:rsidRDefault="001D3CBC" w:rsidP="001D3CBC">
      <w:pPr>
        <w:tabs>
          <w:tab w:val="clear" w:pos="567"/>
        </w:tabs>
        <w:spacing w:line="240" w:lineRule="auto"/>
        <w:rPr>
          <w:sz w:val="22"/>
        </w:rPr>
      </w:pPr>
    </w:p>
    <w:p w:rsidR="00600B9F" w:rsidRPr="00345892" w:rsidRDefault="00600B9F" w:rsidP="001D3CBC">
      <w:pPr>
        <w:tabs>
          <w:tab w:val="clear" w:pos="567"/>
        </w:tabs>
        <w:spacing w:line="240" w:lineRule="auto"/>
        <w:rPr>
          <w:b/>
          <w:szCs w:val="24"/>
        </w:rPr>
      </w:pPr>
      <w:r w:rsidRPr="00345892">
        <w:rPr>
          <w:b/>
          <w:szCs w:val="24"/>
        </w:rPr>
        <w:t>Abstract</w:t>
      </w:r>
    </w:p>
    <w:p w:rsidR="00BE3606" w:rsidRPr="00DD2662" w:rsidRDefault="00BE3606" w:rsidP="00BE3606">
      <w:pPr>
        <w:pStyle w:val="HTMLPreformatted"/>
        <w:shd w:val="clear" w:color="auto" w:fill="FFFFFF"/>
        <w:jc w:val="both"/>
        <w:rPr>
          <w:rFonts w:ascii="Times New Roman" w:hAnsi="Times New Roman" w:cs="Times New Roman"/>
          <w:sz w:val="22"/>
          <w:szCs w:val="22"/>
          <w:lang w:val="en"/>
        </w:rPr>
      </w:pPr>
      <w:r w:rsidRPr="00DD2662">
        <w:rPr>
          <w:rFonts w:ascii="Times New Roman" w:hAnsi="Times New Roman" w:cs="Times New Roman"/>
          <w:sz w:val="22"/>
          <w:szCs w:val="22"/>
        </w:rPr>
        <w:t>T</w:t>
      </w:r>
      <w:r w:rsidR="007B0F5E" w:rsidRPr="00DD2662">
        <w:rPr>
          <w:rFonts w:ascii="Times New Roman" w:hAnsi="Times New Roman" w:cs="Times New Roman"/>
          <w:sz w:val="22"/>
          <w:szCs w:val="22"/>
        </w:rPr>
        <w:t>he aim of t</w:t>
      </w:r>
      <w:r w:rsidRPr="00DD2662">
        <w:rPr>
          <w:rFonts w:ascii="Times New Roman" w:hAnsi="Times New Roman" w:cs="Times New Roman"/>
          <w:sz w:val="22"/>
          <w:szCs w:val="22"/>
        </w:rPr>
        <w:t xml:space="preserve">his </w:t>
      </w:r>
      <w:r w:rsidR="007B0F5E" w:rsidRPr="00DD2662">
        <w:rPr>
          <w:rFonts w:ascii="Times New Roman" w:hAnsi="Times New Roman" w:cs="Times New Roman"/>
          <w:sz w:val="22"/>
          <w:szCs w:val="22"/>
        </w:rPr>
        <w:t xml:space="preserve">study </w:t>
      </w:r>
      <w:r w:rsidRPr="00DD2662">
        <w:rPr>
          <w:rFonts w:ascii="Times New Roman" w:hAnsi="Times New Roman" w:cs="Times New Roman"/>
          <w:sz w:val="22"/>
          <w:szCs w:val="22"/>
        </w:rPr>
        <w:t xml:space="preserve"> </w:t>
      </w:r>
      <w:r w:rsidR="007B0F5E" w:rsidRPr="00DD2662">
        <w:rPr>
          <w:rFonts w:ascii="Times New Roman" w:hAnsi="Times New Roman" w:cs="Times New Roman"/>
          <w:sz w:val="22"/>
          <w:szCs w:val="22"/>
        </w:rPr>
        <w:t xml:space="preserve">is </w:t>
      </w:r>
      <w:r w:rsidRPr="00DD2662">
        <w:rPr>
          <w:rFonts w:ascii="Times New Roman" w:hAnsi="Times New Roman" w:cs="Times New Roman"/>
          <w:sz w:val="22"/>
          <w:szCs w:val="22"/>
        </w:rPr>
        <w:t xml:space="preserve">the contribution of green technology in the sustainable development of </w:t>
      </w:r>
      <w:r w:rsidR="007B0F5E" w:rsidRPr="00DD2662">
        <w:rPr>
          <w:rFonts w:ascii="Times New Roman" w:hAnsi="Times New Roman" w:cs="Times New Roman"/>
          <w:sz w:val="22"/>
          <w:szCs w:val="22"/>
        </w:rPr>
        <w:t>oily wastewater from machining process. T</w:t>
      </w:r>
      <w:r w:rsidRPr="00DD2662">
        <w:rPr>
          <w:rFonts w:ascii="Times New Roman" w:hAnsi="Times New Roman" w:cs="Times New Roman"/>
          <w:sz w:val="22"/>
          <w:szCs w:val="22"/>
          <w:lang w:val="en"/>
        </w:rPr>
        <w:t xml:space="preserve">he </w:t>
      </w:r>
      <w:r w:rsidR="007B0F5E" w:rsidRPr="00DD2662">
        <w:rPr>
          <w:rFonts w:ascii="Times New Roman" w:hAnsi="Times New Roman" w:cs="Times New Roman"/>
          <w:sz w:val="22"/>
          <w:szCs w:val="22"/>
          <w:lang w:val="en"/>
        </w:rPr>
        <w:t xml:space="preserve">cross-flow </w:t>
      </w:r>
      <w:r w:rsidRPr="00DD2662">
        <w:rPr>
          <w:rFonts w:ascii="Times New Roman" w:hAnsi="Times New Roman" w:cs="Times New Roman"/>
          <w:sz w:val="22"/>
          <w:szCs w:val="22"/>
          <w:lang w:val="en"/>
        </w:rPr>
        <w:t>membranes</w:t>
      </w:r>
      <w:r w:rsidR="007B0F5E" w:rsidRPr="00DD2662">
        <w:rPr>
          <w:rFonts w:ascii="Times New Roman" w:hAnsi="Times New Roman" w:cs="Times New Roman"/>
          <w:sz w:val="22"/>
          <w:szCs w:val="22"/>
          <w:lang w:val="en"/>
        </w:rPr>
        <w:t xml:space="preserve"> has been performed </w:t>
      </w:r>
      <w:r w:rsidRPr="00DD2662">
        <w:rPr>
          <w:rFonts w:ascii="Times New Roman" w:hAnsi="Times New Roman" w:cs="Times New Roman"/>
          <w:sz w:val="22"/>
          <w:szCs w:val="22"/>
          <w:lang w:val="en"/>
        </w:rPr>
        <w:t>for treating wastewater emulsion of oil derived from the automotive industry on the metal cutting section. The</w:t>
      </w:r>
      <w:r w:rsidR="007B0F5E" w:rsidRPr="00DD2662">
        <w:rPr>
          <w:rFonts w:ascii="Times New Roman" w:hAnsi="Times New Roman" w:cs="Times New Roman"/>
          <w:sz w:val="22"/>
          <w:szCs w:val="22"/>
          <w:lang w:val="en"/>
        </w:rPr>
        <w:t xml:space="preserve">  objective of this</w:t>
      </w:r>
      <w:r w:rsidRPr="00DD2662">
        <w:rPr>
          <w:rFonts w:ascii="Times New Roman" w:hAnsi="Times New Roman" w:cs="Times New Roman"/>
          <w:sz w:val="22"/>
          <w:szCs w:val="22"/>
          <w:lang w:val="en"/>
        </w:rPr>
        <w:t xml:space="preserve"> </w:t>
      </w:r>
      <w:r w:rsidR="007B0F5E" w:rsidRPr="00DD2662">
        <w:rPr>
          <w:rFonts w:ascii="Times New Roman" w:hAnsi="Times New Roman" w:cs="Times New Roman"/>
          <w:sz w:val="22"/>
          <w:szCs w:val="22"/>
          <w:lang w:val="en"/>
        </w:rPr>
        <w:t>study</w:t>
      </w:r>
      <w:r w:rsidRPr="00DD2662">
        <w:rPr>
          <w:rFonts w:ascii="Times New Roman" w:hAnsi="Times New Roman" w:cs="Times New Roman"/>
          <w:sz w:val="22"/>
          <w:szCs w:val="22"/>
          <w:lang w:val="en"/>
        </w:rPr>
        <w:t xml:space="preserve"> is to </w:t>
      </w:r>
      <w:r w:rsidR="007B0F5E" w:rsidRPr="00DD2662">
        <w:rPr>
          <w:rFonts w:ascii="Times New Roman" w:hAnsi="Times New Roman" w:cs="Times New Roman"/>
          <w:sz w:val="22"/>
          <w:szCs w:val="22"/>
          <w:lang w:val="en"/>
        </w:rPr>
        <w:t>treat</w:t>
      </w:r>
      <w:r w:rsidRPr="00DD2662">
        <w:rPr>
          <w:rFonts w:ascii="Times New Roman" w:hAnsi="Times New Roman" w:cs="Times New Roman"/>
          <w:sz w:val="22"/>
          <w:szCs w:val="22"/>
          <w:lang w:val="en"/>
        </w:rPr>
        <w:t xml:space="preserve"> liquid waste </w:t>
      </w:r>
      <w:r w:rsidR="007B0F5E" w:rsidRPr="00DD2662">
        <w:rPr>
          <w:rFonts w:ascii="Times New Roman" w:hAnsi="Times New Roman" w:cs="Times New Roman"/>
          <w:sz w:val="22"/>
          <w:szCs w:val="22"/>
          <w:lang w:val="en"/>
        </w:rPr>
        <w:t>from</w:t>
      </w:r>
      <w:r w:rsidRPr="00DD2662">
        <w:rPr>
          <w:rFonts w:ascii="Times New Roman" w:hAnsi="Times New Roman" w:cs="Times New Roman"/>
          <w:sz w:val="22"/>
          <w:szCs w:val="22"/>
          <w:lang w:val="en"/>
        </w:rPr>
        <w:t xml:space="preserve"> machining process using membrane technology. The mechanism of ultrafiltration process is </w:t>
      </w:r>
      <w:r w:rsidR="008861DA" w:rsidRPr="00DD2662">
        <w:rPr>
          <w:rFonts w:ascii="Times New Roman" w:hAnsi="Times New Roman" w:cs="Times New Roman"/>
          <w:sz w:val="22"/>
          <w:szCs w:val="22"/>
          <w:lang w:val="en"/>
        </w:rPr>
        <w:t>flow of</w:t>
      </w:r>
      <w:r w:rsidRPr="00DD2662">
        <w:rPr>
          <w:rFonts w:ascii="Times New Roman" w:hAnsi="Times New Roman" w:cs="Times New Roman"/>
          <w:sz w:val="22"/>
          <w:szCs w:val="22"/>
          <w:lang w:val="en"/>
        </w:rPr>
        <w:t xml:space="preserve"> </w:t>
      </w:r>
      <w:r w:rsidR="003F6F76" w:rsidRPr="00DD2662">
        <w:rPr>
          <w:rFonts w:ascii="Times New Roman" w:hAnsi="Times New Roman" w:cs="Times New Roman"/>
          <w:sz w:val="22"/>
          <w:szCs w:val="22"/>
          <w:lang w:val="en"/>
        </w:rPr>
        <w:t xml:space="preserve">small </w:t>
      </w:r>
      <w:r w:rsidRPr="00DD2662">
        <w:rPr>
          <w:rFonts w:ascii="Times New Roman" w:hAnsi="Times New Roman" w:cs="Times New Roman"/>
          <w:sz w:val="22"/>
          <w:szCs w:val="22"/>
          <w:lang w:val="en"/>
        </w:rPr>
        <w:t xml:space="preserve">molecules </w:t>
      </w:r>
      <w:r w:rsidR="003F6F76" w:rsidRPr="00DD2662">
        <w:rPr>
          <w:rFonts w:ascii="Times New Roman" w:hAnsi="Times New Roman" w:cs="Times New Roman"/>
          <w:sz w:val="22"/>
          <w:szCs w:val="22"/>
          <w:lang w:val="en"/>
        </w:rPr>
        <w:t>pass through pore of membrane.</w:t>
      </w:r>
      <w:r w:rsidRPr="00DD2662">
        <w:rPr>
          <w:rFonts w:ascii="Times New Roman" w:hAnsi="Times New Roman" w:cs="Times New Roman"/>
          <w:sz w:val="22"/>
          <w:szCs w:val="22"/>
          <w:lang w:val="en"/>
        </w:rPr>
        <w:t xml:space="preserve"> The performance of the </w:t>
      </w:r>
      <w:r w:rsidR="003F6F76" w:rsidRPr="00DD2662">
        <w:rPr>
          <w:rFonts w:ascii="Times New Roman" w:hAnsi="Times New Roman" w:cs="Times New Roman"/>
          <w:sz w:val="22"/>
          <w:szCs w:val="22"/>
          <w:lang w:val="en"/>
        </w:rPr>
        <w:t xml:space="preserve">cellulose acetate hydrophilic membrane </w:t>
      </w:r>
      <w:r w:rsidRPr="00DD2662">
        <w:rPr>
          <w:rFonts w:ascii="Times New Roman" w:hAnsi="Times New Roman" w:cs="Times New Roman"/>
          <w:sz w:val="22"/>
          <w:szCs w:val="22"/>
          <w:lang w:val="en"/>
        </w:rPr>
        <w:t xml:space="preserve">is determined by the permeate and rejection flux. The operation of this two-stage ultrafiltration membrane involves a 12% composite cellulose acetate membrane (CA-12) </w:t>
      </w:r>
      <w:r w:rsidR="003F6F76" w:rsidRPr="00DD2662">
        <w:rPr>
          <w:rFonts w:ascii="Times New Roman" w:hAnsi="Times New Roman" w:cs="Times New Roman"/>
          <w:sz w:val="22"/>
          <w:szCs w:val="22"/>
          <w:lang w:val="en"/>
        </w:rPr>
        <w:t xml:space="preserve">in </w:t>
      </w:r>
      <w:r w:rsidRPr="00DD2662">
        <w:rPr>
          <w:rFonts w:ascii="Times New Roman" w:hAnsi="Times New Roman" w:cs="Times New Roman"/>
          <w:sz w:val="22"/>
          <w:szCs w:val="22"/>
          <w:lang w:val="en"/>
        </w:rPr>
        <w:t xml:space="preserve">phase I and 15% (15%) cellulose acetate membrane (CA-15) </w:t>
      </w:r>
      <w:r w:rsidR="003F6F76" w:rsidRPr="00DD2662">
        <w:rPr>
          <w:rFonts w:ascii="Times New Roman" w:hAnsi="Times New Roman" w:cs="Times New Roman"/>
          <w:sz w:val="22"/>
          <w:szCs w:val="22"/>
          <w:lang w:val="en"/>
        </w:rPr>
        <w:t>in</w:t>
      </w:r>
      <w:r w:rsidRPr="00DD2662">
        <w:rPr>
          <w:rFonts w:ascii="Times New Roman" w:hAnsi="Times New Roman" w:cs="Times New Roman"/>
          <w:sz w:val="22"/>
          <w:szCs w:val="22"/>
          <w:lang w:val="en"/>
        </w:rPr>
        <w:t xml:space="preserve"> phase II with a 90 minute operating time</w:t>
      </w:r>
      <w:r w:rsidR="003F6F76" w:rsidRPr="00DD2662">
        <w:rPr>
          <w:rFonts w:ascii="Times New Roman" w:hAnsi="Times New Roman" w:cs="Times New Roman"/>
          <w:sz w:val="22"/>
          <w:szCs w:val="22"/>
          <w:lang w:val="en"/>
        </w:rPr>
        <w:t xml:space="preserve"> with </w:t>
      </w:r>
      <w:r w:rsidRPr="00DD2662">
        <w:rPr>
          <w:rFonts w:ascii="Times New Roman" w:hAnsi="Times New Roman" w:cs="Times New Roman"/>
          <w:sz w:val="22"/>
          <w:szCs w:val="22"/>
          <w:lang w:val="en"/>
        </w:rPr>
        <w:t xml:space="preserve">pressure </w:t>
      </w:r>
      <w:r w:rsidR="003F6F76" w:rsidRPr="00DD2662">
        <w:rPr>
          <w:rFonts w:ascii="Times New Roman" w:hAnsi="Times New Roman" w:cs="Times New Roman"/>
          <w:sz w:val="22"/>
          <w:szCs w:val="22"/>
          <w:lang w:val="en"/>
        </w:rPr>
        <w:t>of</w:t>
      </w:r>
      <w:r w:rsidRPr="00DD2662">
        <w:rPr>
          <w:rFonts w:ascii="Times New Roman" w:hAnsi="Times New Roman" w:cs="Times New Roman"/>
          <w:sz w:val="22"/>
          <w:szCs w:val="22"/>
          <w:lang w:val="en"/>
        </w:rPr>
        <w:t xml:space="preserve"> 3.5 bar. Flux </w:t>
      </w:r>
      <w:r w:rsidR="003F6F76" w:rsidRPr="00DD2662">
        <w:rPr>
          <w:rFonts w:ascii="Times New Roman" w:hAnsi="Times New Roman" w:cs="Times New Roman"/>
          <w:sz w:val="22"/>
          <w:szCs w:val="22"/>
          <w:lang w:val="en"/>
        </w:rPr>
        <w:t xml:space="preserve">of </w:t>
      </w:r>
      <w:r w:rsidRPr="00DD2662">
        <w:rPr>
          <w:rFonts w:ascii="Times New Roman" w:hAnsi="Times New Roman" w:cs="Times New Roman"/>
          <w:sz w:val="22"/>
          <w:szCs w:val="22"/>
          <w:lang w:val="en"/>
        </w:rPr>
        <w:t xml:space="preserve">phase I, </w:t>
      </w:r>
      <w:r w:rsidR="003F6F76" w:rsidRPr="00DD2662">
        <w:rPr>
          <w:rFonts w:ascii="Times New Roman" w:hAnsi="Times New Roman" w:cs="Times New Roman"/>
          <w:sz w:val="22"/>
          <w:szCs w:val="22"/>
          <w:lang w:val="en"/>
        </w:rPr>
        <w:t>without pretreatment and with pretreatment are 17,03 L / m</w:t>
      </w:r>
      <w:r w:rsidR="003F6F76" w:rsidRPr="00DD2662">
        <w:rPr>
          <w:rFonts w:ascii="Times New Roman" w:hAnsi="Times New Roman" w:cs="Times New Roman"/>
          <w:sz w:val="22"/>
          <w:szCs w:val="22"/>
          <w:vertAlign w:val="superscript"/>
          <w:lang w:val="en"/>
        </w:rPr>
        <w:t>2</w:t>
      </w:r>
      <w:r w:rsidR="003F6F76" w:rsidRPr="00DD2662">
        <w:rPr>
          <w:rFonts w:ascii="Times New Roman" w:hAnsi="Times New Roman" w:cs="Times New Roman"/>
          <w:sz w:val="22"/>
          <w:szCs w:val="22"/>
          <w:lang w:val="en"/>
        </w:rPr>
        <w:t>.h and 59,05 L / m</w:t>
      </w:r>
      <w:r w:rsidR="003F6F76" w:rsidRPr="00DD2662">
        <w:rPr>
          <w:rFonts w:ascii="Times New Roman" w:hAnsi="Times New Roman" w:cs="Times New Roman"/>
          <w:sz w:val="22"/>
          <w:szCs w:val="22"/>
          <w:vertAlign w:val="superscript"/>
          <w:lang w:val="en"/>
        </w:rPr>
        <w:t>2</w:t>
      </w:r>
      <w:r w:rsidR="003F6F76" w:rsidRPr="00DD2662">
        <w:rPr>
          <w:rFonts w:ascii="Times New Roman" w:hAnsi="Times New Roman" w:cs="Times New Roman"/>
          <w:sz w:val="22"/>
          <w:szCs w:val="22"/>
          <w:lang w:val="en"/>
        </w:rPr>
        <w:t>.h respectively</w:t>
      </w:r>
      <w:r w:rsidRPr="00DD2662">
        <w:rPr>
          <w:rFonts w:ascii="Times New Roman" w:hAnsi="Times New Roman" w:cs="Times New Roman"/>
          <w:sz w:val="22"/>
          <w:szCs w:val="22"/>
          <w:lang w:val="en"/>
        </w:rPr>
        <w:t xml:space="preserve">. In phase II, the flux </w:t>
      </w:r>
      <w:r w:rsidR="003F6F76" w:rsidRPr="00DD2662">
        <w:rPr>
          <w:rFonts w:ascii="Times New Roman" w:hAnsi="Times New Roman" w:cs="Times New Roman"/>
          <w:sz w:val="22"/>
          <w:szCs w:val="22"/>
          <w:lang w:val="en"/>
        </w:rPr>
        <w:t>of treatment without and with preteeatment are 22.08 L / m</w:t>
      </w:r>
      <w:r w:rsidR="003F6F76" w:rsidRPr="00DD2662">
        <w:rPr>
          <w:rFonts w:ascii="Times New Roman" w:hAnsi="Times New Roman" w:cs="Times New Roman"/>
          <w:sz w:val="22"/>
          <w:szCs w:val="22"/>
          <w:vertAlign w:val="superscript"/>
          <w:lang w:val="en"/>
        </w:rPr>
        <w:t>2</w:t>
      </w:r>
      <w:r w:rsidR="003F6F76" w:rsidRPr="00DD2662">
        <w:rPr>
          <w:rFonts w:ascii="Times New Roman" w:hAnsi="Times New Roman" w:cs="Times New Roman"/>
          <w:sz w:val="22"/>
          <w:szCs w:val="22"/>
          <w:lang w:val="en"/>
        </w:rPr>
        <w:t>.h</w:t>
      </w:r>
      <w:r w:rsidRPr="00DD2662">
        <w:rPr>
          <w:rFonts w:ascii="Times New Roman" w:hAnsi="Times New Roman" w:cs="Times New Roman"/>
          <w:sz w:val="22"/>
          <w:szCs w:val="22"/>
          <w:lang w:val="en"/>
        </w:rPr>
        <w:t xml:space="preserve"> and 24.86 L / m</w:t>
      </w:r>
      <w:r w:rsidRPr="00DD2662">
        <w:rPr>
          <w:rFonts w:ascii="Times New Roman" w:hAnsi="Times New Roman" w:cs="Times New Roman"/>
          <w:sz w:val="22"/>
          <w:szCs w:val="22"/>
          <w:vertAlign w:val="superscript"/>
          <w:lang w:val="en"/>
        </w:rPr>
        <w:t>2</w:t>
      </w:r>
      <w:r w:rsidRPr="00DD2662">
        <w:rPr>
          <w:rFonts w:ascii="Times New Roman" w:hAnsi="Times New Roman" w:cs="Times New Roman"/>
          <w:sz w:val="22"/>
          <w:szCs w:val="22"/>
          <w:lang w:val="en"/>
        </w:rPr>
        <w:t>.</w:t>
      </w:r>
      <w:r w:rsidR="003F6F76" w:rsidRPr="00DD2662">
        <w:rPr>
          <w:rFonts w:ascii="Times New Roman" w:hAnsi="Times New Roman" w:cs="Times New Roman"/>
          <w:sz w:val="22"/>
          <w:szCs w:val="22"/>
          <w:lang w:val="en"/>
        </w:rPr>
        <w:t>h</w:t>
      </w:r>
      <w:r w:rsidRPr="00DD2662">
        <w:rPr>
          <w:rFonts w:ascii="Times New Roman" w:hAnsi="Times New Roman" w:cs="Times New Roman"/>
          <w:sz w:val="22"/>
          <w:szCs w:val="22"/>
          <w:lang w:val="en"/>
        </w:rPr>
        <w:t xml:space="preserve"> </w:t>
      </w:r>
      <w:r w:rsidR="00DD2662" w:rsidRPr="00DD2662">
        <w:rPr>
          <w:rFonts w:ascii="Times New Roman" w:hAnsi="Times New Roman" w:cs="Times New Roman"/>
          <w:sz w:val="22"/>
          <w:szCs w:val="22"/>
          <w:lang w:val="en"/>
        </w:rPr>
        <w:t>, respectively.</w:t>
      </w:r>
      <w:r w:rsidRPr="00DD2662">
        <w:rPr>
          <w:rFonts w:ascii="Times New Roman" w:hAnsi="Times New Roman" w:cs="Times New Roman"/>
          <w:sz w:val="22"/>
          <w:szCs w:val="22"/>
          <w:lang w:val="en"/>
        </w:rPr>
        <w:t xml:space="preserve"> COD and surfactant rejection </w:t>
      </w:r>
      <w:r w:rsidR="00DD2662" w:rsidRPr="00DD2662">
        <w:rPr>
          <w:rFonts w:ascii="Times New Roman" w:hAnsi="Times New Roman" w:cs="Times New Roman"/>
          <w:sz w:val="22"/>
          <w:szCs w:val="22"/>
          <w:lang w:val="en"/>
        </w:rPr>
        <w:t>for</w:t>
      </w:r>
      <w:r w:rsidRPr="00DD2662">
        <w:rPr>
          <w:rFonts w:ascii="Times New Roman" w:hAnsi="Times New Roman" w:cs="Times New Roman"/>
          <w:sz w:val="22"/>
          <w:szCs w:val="22"/>
          <w:lang w:val="en"/>
        </w:rPr>
        <w:t xml:space="preserve"> both membrane without pretreatment of 96.57% and 96.35%, whereas for waste feed with COD rejection </w:t>
      </w:r>
      <w:r w:rsidR="00DD2662" w:rsidRPr="00DD2662">
        <w:rPr>
          <w:rFonts w:ascii="Times New Roman" w:hAnsi="Times New Roman" w:cs="Times New Roman"/>
          <w:sz w:val="22"/>
          <w:szCs w:val="22"/>
          <w:lang w:val="en"/>
        </w:rPr>
        <w:t>of</w:t>
      </w:r>
      <w:r w:rsidRPr="00DD2662">
        <w:rPr>
          <w:rFonts w:ascii="Times New Roman" w:hAnsi="Times New Roman" w:cs="Times New Roman"/>
          <w:sz w:val="22"/>
          <w:szCs w:val="22"/>
          <w:lang w:val="en"/>
        </w:rPr>
        <w:t xml:space="preserve"> 98.56% and surfactant rejection </w:t>
      </w:r>
      <w:r w:rsidR="00DD2662" w:rsidRPr="00DD2662">
        <w:rPr>
          <w:rFonts w:ascii="Times New Roman" w:hAnsi="Times New Roman" w:cs="Times New Roman"/>
          <w:sz w:val="22"/>
          <w:szCs w:val="22"/>
          <w:lang w:val="en"/>
        </w:rPr>
        <w:t xml:space="preserve">of </w:t>
      </w:r>
      <w:r w:rsidRPr="00DD2662">
        <w:rPr>
          <w:rFonts w:ascii="Times New Roman" w:hAnsi="Times New Roman" w:cs="Times New Roman"/>
          <w:sz w:val="22"/>
          <w:szCs w:val="22"/>
          <w:lang w:val="en"/>
        </w:rPr>
        <w:t>97.44 %.</w:t>
      </w:r>
    </w:p>
    <w:p w:rsidR="00BE3606" w:rsidRPr="00BE3606" w:rsidRDefault="00BE3606" w:rsidP="00BE3606">
      <w:pPr>
        <w:pStyle w:val="HTMLPreformatted"/>
        <w:shd w:val="clear" w:color="auto" w:fill="FFFFFF"/>
        <w:rPr>
          <w:rFonts w:ascii="Times New Roman" w:hAnsi="Times New Roman" w:cs="Times New Roman"/>
          <w:color w:val="212121"/>
          <w:sz w:val="22"/>
          <w:szCs w:val="22"/>
          <w:lang w:val="en"/>
        </w:rPr>
      </w:pPr>
    </w:p>
    <w:p w:rsidR="00BE3606" w:rsidRPr="00BE3606" w:rsidRDefault="00BE3606" w:rsidP="00BE3606">
      <w:pPr>
        <w:tabs>
          <w:tab w:val="clear" w:pos="567"/>
        </w:tabs>
        <w:spacing w:line="240" w:lineRule="auto"/>
        <w:rPr>
          <w:i/>
          <w:sz w:val="22"/>
        </w:rPr>
      </w:pPr>
      <w:r w:rsidRPr="00BE3606">
        <w:rPr>
          <w:rFonts w:cs="Times New Roman"/>
          <w:i/>
          <w:color w:val="212121"/>
          <w:sz w:val="22"/>
          <w:lang w:val="en"/>
        </w:rPr>
        <w:t>Keywords: Cutting oil; Ultrafiltration; cellulose acetate; COD rejection; surfactant rejection</w:t>
      </w:r>
    </w:p>
    <w:p w:rsidR="00600B9F" w:rsidRPr="00345892" w:rsidRDefault="00600B9F" w:rsidP="001D3CBC">
      <w:pPr>
        <w:tabs>
          <w:tab w:val="clear" w:pos="567"/>
        </w:tabs>
        <w:spacing w:line="240" w:lineRule="auto"/>
        <w:rPr>
          <w:sz w:val="22"/>
        </w:rPr>
      </w:pPr>
    </w:p>
    <w:p w:rsidR="00F0405E" w:rsidRPr="00345892" w:rsidRDefault="00F0405E" w:rsidP="00600B9F">
      <w:pPr>
        <w:tabs>
          <w:tab w:val="clear" w:pos="567"/>
        </w:tabs>
        <w:spacing w:line="240" w:lineRule="auto"/>
        <w:rPr>
          <w:sz w:val="22"/>
        </w:rPr>
      </w:pPr>
    </w:p>
    <w:p w:rsidR="00F0405E" w:rsidRPr="001E6572" w:rsidRDefault="00F0405E" w:rsidP="001E6572">
      <w:pPr>
        <w:pStyle w:val="ListParagraph"/>
        <w:numPr>
          <w:ilvl w:val="0"/>
          <w:numId w:val="11"/>
        </w:numPr>
        <w:tabs>
          <w:tab w:val="clear" w:pos="567"/>
        </w:tabs>
        <w:spacing w:line="240" w:lineRule="auto"/>
        <w:ind w:left="284" w:hanging="284"/>
        <w:rPr>
          <w:b/>
          <w:szCs w:val="24"/>
        </w:rPr>
      </w:pPr>
      <w:r w:rsidRPr="001E6572">
        <w:rPr>
          <w:b/>
          <w:szCs w:val="24"/>
        </w:rPr>
        <w:t xml:space="preserve">Introduction </w:t>
      </w:r>
    </w:p>
    <w:p w:rsidR="001410F1" w:rsidRPr="00B973DE" w:rsidRDefault="008F058C" w:rsidP="001410F1">
      <w:pPr>
        <w:pStyle w:val="TTPParagraphothers"/>
      </w:pPr>
      <w:r w:rsidRPr="009946D7">
        <w:t xml:space="preserve">The environment is becoming more polluted due to the various wastes discharged from a wide range of </w:t>
      </w:r>
      <w:r>
        <w:t xml:space="preserve">machining process from </w:t>
      </w:r>
      <w:r w:rsidRPr="009946D7">
        <w:t>industrial applications</w:t>
      </w:r>
      <w:r>
        <w:rPr>
          <w:sz w:val="22"/>
          <w:szCs w:val="22"/>
        </w:rPr>
        <w:t>. The use of c</w:t>
      </w:r>
      <w:r w:rsidR="001410F1" w:rsidRPr="001410F1">
        <w:rPr>
          <w:sz w:val="22"/>
          <w:szCs w:val="22"/>
        </w:rPr>
        <w:t>oolants are essential component of machining process as its cools the cutting zone, lubricates the tool chip contact thereby reducing the friction and temperature generated. Meanwhile, the metal working industries saw the limitation of the use of conventional coolant and coolant strategies. Among the alternative ways of conventional coolant usage reduction, dry machining and minimum quality lubrication (MQL) technique is effective in machining proses in order to foster the sustainability environment. MQL in comparison with flood cooling and dry machining drastically minimize (1/300,000 times) the negative effect on the environment, resulting the reduce of cutting force and usa</w:t>
      </w:r>
      <w:r w:rsidR="001410F1" w:rsidRPr="001410F1">
        <w:rPr>
          <w:sz w:val="22"/>
          <w:szCs w:val="22"/>
        </w:rPr>
        <w:t>ge of coolant [1</w:t>
      </w:r>
      <w:r w:rsidR="001410F1" w:rsidRPr="001410F1">
        <w:rPr>
          <w:sz w:val="22"/>
          <w:szCs w:val="22"/>
        </w:rPr>
        <w:t>]. However, the lubricating oil tends to evaporates as it strikes the already heated cutting tool at high temperature. The need of thermal conductivity nanoparticles in cutting fluids are explored to eliminate or reduce drastically the shortcomings of conventional coolants in MQL technique</w:t>
      </w:r>
      <w:r w:rsidR="001410F1" w:rsidRPr="00B973DE">
        <w:t>.</w:t>
      </w:r>
    </w:p>
    <w:p w:rsidR="001410F1" w:rsidRPr="00B973DE" w:rsidRDefault="001410F1" w:rsidP="001410F1">
      <w:pPr>
        <w:pStyle w:val="TTPParagraphothers"/>
      </w:pPr>
      <w:r w:rsidRPr="001410F1">
        <w:rPr>
          <w:sz w:val="22"/>
          <w:szCs w:val="22"/>
        </w:rPr>
        <w:t>Nanofluids (NFs) are new classes of fluids engineered by dispersing nanomaterials in based fluids that could be deionized water, esters or vegetable oils (e.g coconut oils) [</w:t>
      </w:r>
      <w:r>
        <w:rPr>
          <w:sz w:val="22"/>
          <w:szCs w:val="22"/>
        </w:rPr>
        <w:t>2</w:t>
      </w:r>
      <w:r w:rsidRPr="001410F1">
        <w:rPr>
          <w:sz w:val="22"/>
          <w:szCs w:val="22"/>
        </w:rPr>
        <w:t>]. Nanomaterials are defined as the materials whose its structural have dimensions in the range between 1 and 100 nanometer. In nanomaterials due to the increase of surface area to the volume, some physical and chemical properties such as thermal, electrical, mechanical, chemical, optical and magnetic property of the materials can be changed significantly. The nanomaterials exhibit different and unique properties as compared to the bulk materials with the same compositions [</w:t>
      </w:r>
      <w:r>
        <w:rPr>
          <w:sz w:val="22"/>
          <w:szCs w:val="22"/>
        </w:rPr>
        <w:t>3</w:t>
      </w:r>
      <w:r w:rsidRPr="001410F1">
        <w:rPr>
          <w:sz w:val="22"/>
          <w:szCs w:val="22"/>
        </w:rPr>
        <w:t>]. NFs are class of solid/liquid mixtures engineered by dispersing nanoparticles in conventional base liquids. Common nanoparticles could be metallic/intermetallic compounds namely, Ag, Cu, Ni Fe ceramic compounds namely oxides, sulfides, carbides, Al</w:t>
      </w:r>
      <w:r w:rsidRPr="001410F1">
        <w:rPr>
          <w:sz w:val="22"/>
          <w:szCs w:val="22"/>
          <w:vertAlign w:val="subscript"/>
        </w:rPr>
        <w:t>2</w:t>
      </w:r>
      <w:r w:rsidRPr="001410F1">
        <w:rPr>
          <w:sz w:val="22"/>
          <w:szCs w:val="22"/>
        </w:rPr>
        <w:t>O</w:t>
      </w:r>
      <w:r w:rsidRPr="001410F1">
        <w:rPr>
          <w:sz w:val="22"/>
          <w:szCs w:val="22"/>
          <w:vertAlign w:val="subscript"/>
        </w:rPr>
        <w:t>3</w:t>
      </w:r>
      <w:r w:rsidRPr="001410F1">
        <w:rPr>
          <w:sz w:val="22"/>
          <w:szCs w:val="22"/>
        </w:rPr>
        <w:t>, Fe</w:t>
      </w:r>
      <w:r w:rsidRPr="001410F1">
        <w:rPr>
          <w:sz w:val="22"/>
          <w:szCs w:val="22"/>
          <w:vertAlign w:val="subscript"/>
        </w:rPr>
        <w:t>2</w:t>
      </w:r>
      <w:r w:rsidRPr="001410F1">
        <w:rPr>
          <w:sz w:val="22"/>
          <w:szCs w:val="22"/>
        </w:rPr>
        <w:t>O</w:t>
      </w:r>
      <w:r w:rsidRPr="001410F1">
        <w:rPr>
          <w:sz w:val="22"/>
          <w:szCs w:val="22"/>
          <w:vertAlign w:val="subscript"/>
        </w:rPr>
        <w:t>3</w:t>
      </w:r>
      <w:r w:rsidRPr="001410F1">
        <w:rPr>
          <w:sz w:val="22"/>
          <w:szCs w:val="22"/>
        </w:rPr>
        <w:t>, TiO</w:t>
      </w:r>
      <w:r w:rsidRPr="001410F1">
        <w:rPr>
          <w:sz w:val="22"/>
          <w:szCs w:val="22"/>
          <w:vertAlign w:val="subscript"/>
        </w:rPr>
        <w:t>2</w:t>
      </w:r>
      <w:r w:rsidRPr="001410F1">
        <w:rPr>
          <w:sz w:val="22"/>
          <w:szCs w:val="22"/>
        </w:rPr>
        <w:t>, SiO</w:t>
      </w:r>
      <w:r w:rsidRPr="001410F1">
        <w:rPr>
          <w:sz w:val="22"/>
          <w:szCs w:val="22"/>
          <w:vertAlign w:val="subscript"/>
        </w:rPr>
        <w:t>2</w:t>
      </w:r>
      <w:r w:rsidRPr="001410F1">
        <w:rPr>
          <w:sz w:val="22"/>
          <w:szCs w:val="22"/>
        </w:rPr>
        <w:t>, ZnO</w:t>
      </w:r>
      <w:r w:rsidRPr="001410F1">
        <w:rPr>
          <w:sz w:val="22"/>
          <w:szCs w:val="22"/>
          <w:vertAlign w:val="subscript"/>
        </w:rPr>
        <w:t>2</w:t>
      </w:r>
      <w:r w:rsidRPr="001410F1">
        <w:rPr>
          <w:sz w:val="22"/>
          <w:szCs w:val="22"/>
        </w:rPr>
        <w:t xml:space="preserve"> are some nanostructured materials [</w:t>
      </w:r>
      <w:r>
        <w:rPr>
          <w:sz w:val="22"/>
          <w:szCs w:val="22"/>
        </w:rPr>
        <w:t>4</w:t>
      </w:r>
      <w:r w:rsidRPr="001410F1">
        <w:rPr>
          <w:sz w:val="22"/>
          <w:szCs w:val="22"/>
        </w:rPr>
        <w:t xml:space="preserve">]. Base liquids of NFs are vegetable oil, coconut oil, gear oil, and pump oil. NFs were applied in different areas such as thermal </w:t>
      </w:r>
      <w:r w:rsidRPr="001410F1">
        <w:rPr>
          <w:sz w:val="22"/>
          <w:szCs w:val="22"/>
        </w:rPr>
        <w:lastRenderedPageBreak/>
        <w:t>application, fuel additives, lubricant, surface coating, environmental remediation, inkjet printing, biomedical, petroleum industry. Example of the NFs thermal applications is cooling system in different industries, such as metal cutting operation. Cooling is most potential scientific challenges in different industries for heat transfer applications [5]. NFs can be used in metal processing and could also be used as efficient coolant in data centers and electronics cooling systems, as shown in Figure 1</w:t>
      </w:r>
      <w:r>
        <w:rPr>
          <w:sz w:val="22"/>
          <w:szCs w:val="22"/>
        </w:rPr>
        <w:t>.</w:t>
      </w:r>
      <w:r w:rsidRPr="001410F1">
        <w:rPr>
          <w:sz w:val="22"/>
          <w:szCs w:val="22"/>
        </w:rPr>
        <w:t xml:space="preserve"> NFs were applied also in environmental remediation as an additive in membrane composition in order to produced nanofiltration membrane</w:t>
      </w:r>
      <w:r w:rsidRPr="00781364">
        <w:t>.</w:t>
      </w:r>
    </w:p>
    <w:p w:rsidR="001410F1" w:rsidRDefault="001410F1" w:rsidP="001410F1">
      <w:pPr>
        <w:pStyle w:val="TTPParagraphothers"/>
        <w:ind w:left="720" w:firstLine="0"/>
        <w:rPr>
          <w:color w:val="FF0000"/>
        </w:rPr>
      </w:pPr>
    </w:p>
    <w:p w:rsidR="001410F1" w:rsidRDefault="001410F1" w:rsidP="001410F1">
      <w:pPr>
        <w:pStyle w:val="TTPParagraphothers"/>
        <w:ind w:left="720" w:firstLine="0"/>
        <w:jc w:val="center"/>
        <w:rPr>
          <w:color w:val="FF0000"/>
        </w:rPr>
      </w:pPr>
      <w:r>
        <w:object w:dxaOrig="7574" w:dyaOrig="5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pt;height:113.95pt" o:ole="">
            <v:imagedata r:id="rId5" o:title=""/>
          </v:shape>
          <o:OLEObject Type="Embed" ProgID="Visio.Drawing.15" ShapeID="_x0000_i1025" DrawAspect="Content" ObjectID="_1571081843" r:id="rId6"/>
        </w:object>
      </w:r>
    </w:p>
    <w:p w:rsidR="001410F1" w:rsidRPr="00AE0909" w:rsidRDefault="001410F1" w:rsidP="001410F1">
      <w:pPr>
        <w:pStyle w:val="TTPParagraphothers"/>
        <w:ind w:left="720" w:firstLine="0"/>
        <w:jc w:val="center"/>
      </w:pPr>
      <w:r w:rsidRPr="00AE0909">
        <w:t>Figure 1 NFs thermal applications</w:t>
      </w:r>
    </w:p>
    <w:p w:rsidR="001410F1" w:rsidRDefault="001410F1" w:rsidP="001410F1">
      <w:pPr>
        <w:pStyle w:val="TTPParagraphothers"/>
        <w:ind w:left="720" w:firstLine="0"/>
        <w:rPr>
          <w:color w:val="FF0000"/>
        </w:rPr>
      </w:pPr>
    </w:p>
    <w:p w:rsidR="001410F1" w:rsidRDefault="001410F1" w:rsidP="008F058C">
      <w:pPr>
        <w:pStyle w:val="TTPParagraph1st"/>
        <w:ind w:firstLine="360"/>
        <w:rPr>
          <w:sz w:val="22"/>
        </w:rPr>
      </w:pPr>
      <w:r w:rsidRPr="001410F1">
        <w:rPr>
          <w:sz w:val="22"/>
          <w:szCs w:val="22"/>
        </w:rPr>
        <w:t>Proper selection of coolants is particularly important as it could affect the tool life, cutting forces, power consumption, machining acc</w:t>
      </w:r>
      <w:r w:rsidR="00BA47B7">
        <w:rPr>
          <w:sz w:val="22"/>
          <w:szCs w:val="22"/>
        </w:rPr>
        <w:t>uracy and</w:t>
      </w:r>
      <w:r w:rsidRPr="001410F1">
        <w:rPr>
          <w:sz w:val="22"/>
          <w:szCs w:val="22"/>
        </w:rPr>
        <w:t xml:space="preserve"> surface integrity [</w:t>
      </w:r>
      <w:r w:rsidR="00BA47B7">
        <w:rPr>
          <w:sz w:val="22"/>
          <w:szCs w:val="22"/>
        </w:rPr>
        <w:t>6</w:t>
      </w:r>
      <w:r w:rsidRPr="001410F1">
        <w:rPr>
          <w:sz w:val="22"/>
          <w:szCs w:val="22"/>
        </w:rPr>
        <w:t>]. Despite the significant effects of coolants in machining process, the selection of the type and delivery system of the coolants are usually based on the recommendations of coolants suppliers and machine tool manufactures. Substances used in machining for cooling and/or lubrication can be defined as cutting fluids, gas-based coolants/lubricants and solid lubricants. It has been used widely accepted characteristics of the coolants is their miscibility in water. Then, it has been used in order to categorize the coolants</w:t>
      </w:r>
      <w:r w:rsidRPr="001410F1">
        <w:rPr>
          <w:sz w:val="22"/>
          <w:szCs w:val="22"/>
        </w:rPr>
        <w:t xml:space="preserve"> </w:t>
      </w:r>
      <w:r w:rsidRPr="001410F1">
        <w:rPr>
          <w:sz w:val="22"/>
          <w:szCs w:val="22"/>
        </w:rPr>
        <w:t xml:space="preserve"> into water-soluble or non-water soluble, also known as oil-based coolants [8].</w:t>
      </w:r>
      <w:r w:rsidR="008F058C">
        <w:rPr>
          <w:sz w:val="22"/>
          <w:szCs w:val="22"/>
        </w:rPr>
        <w:t xml:space="preserve"> </w:t>
      </w:r>
      <w:r w:rsidRPr="00BB2C42">
        <w:rPr>
          <w:sz w:val="22"/>
          <w:szCs w:val="22"/>
        </w:rPr>
        <w:t>Oil-based fluids are one of alternative coolant used in machining operations. They are classified into two basic categories such as naphthenic mineral oils and paraffinic mineral oils. Based on the limitation of mineral oils, some studies develop the use of vegetable oils as coolants in machining operations [</w:t>
      </w:r>
      <w:r w:rsidR="008F058C">
        <w:rPr>
          <w:sz w:val="22"/>
          <w:szCs w:val="22"/>
        </w:rPr>
        <w:t>9</w:t>
      </w:r>
      <w:r w:rsidRPr="00BB2C42">
        <w:rPr>
          <w:sz w:val="22"/>
          <w:szCs w:val="22"/>
        </w:rPr>
        <w:t>]. Moreover, vegetable oils is classified as nanofluids that potential to enhance the performance of c</w:t>
      </w:r>
      <w:r w:rsidR="00BB2C42">
        <w:rPr>
          <w:sz w:val="22"/>
        </w:rPr>
        <w:t>onventional heat transfer fluids and also potential treatment of its waste before  delivered to the environment.</w:t>
      </w:r>
    </w:p>
    <w:p w:rsidR="008F058C" w:rsidRDefault="008F058C" w:rsidP="008F058C">
      <w:pPr>
        <w:pStyle w:val="TTPParagraphothers"/>
      </w:pPr>
      <w:r w:rsidRPr="008F058C">
        <w:rPr>
          <w:sz w:val="22"/>
          <w:szCs w:val="22"/>
        </w:rPr>
        <w:t>As known,</w:t>
      </w:r>
      <w:r>
        <w:rPr>
          <w:sz w:val="22"/>
          <w:szCs w:val="22"/>
        </w:rPr>
        <w:t xml:space="preserve"> several </w:t>
      </w:r>
      <w:r w:rsidR="00582F5C">
        <w:rPr>
          <w:sz w:val="22"/>
          <w:szCs w:val="22"/>
        </w:rPr>
        <w:t xml:space="preserve">common treatment methods have been improved for disposing and pre-treatment alternatives available for non-hazardous water miscible machine coolant wastewater, such as chemical treatment, membrane technology, evaporators to remove soluble and insoluble of organic and in organic contaminants. Membrane ultrafiltration has been greatly used in water separation in order to separate liquid/liquid or liquid/solid mixtures. </w:t>
      </w:r>
      <w:r w:rsidR="00582F5C" w:rsidRPr="009946D7">
        <w:rPr>
          <w:rFonts w:eastAsia="Times New Roman"/>
        </w:rPr>
        <w:t xml:space="preserve">Ultrafiltration is most commonly used to separate insoluble components from the aqueous phase. One of the uses that </w:t>
      </w:r>
      <w:r w:rsidR="00582F5C" w:rsidRPr="000E2269">
        <w:rPr>
          <w:rFonts w:eastAsia="Times New Roman"/>
          <w:noProof/>
        </w:rPr>
        <w:t>demonstrate</w:t>
      </w:r>
      <w:r w:rsidR="00582F5C" w:rsidRPr="009946D7">
        <w:rPr>
          <w:rFonts w:eastAsia="Times New Roman"/>
        </w:rPr>
        <w:t xml:space="preserve"> the usefulness of ultrafiltration is</w:t>
      </w:r>
      <w:r w:rsidR="00582F5C">
        <w:rPr>
          <w:rFonts w:eastAsia="Times New Roman"/>
        </w:rPr>
        <w:t xml:space="preserve"> a</w:t>
      </w:r>
      <w:r w:rsidR="00582F5C" w:rsidRPr="009946D7">
        <w:rPr>
          <w:rFonts w:eastAsia="Times New Roman"/>
        </w:rPr>
        <w:t xml:space="preserve"> </w:t>
      </w:r>
      <w:r w:rsidR="00582F5C" w:rsidRPr="000E2269">
        <w:rPr>
          <w:rFonts w:eastAsia="Times New Roman"/>
          <w:noProof/>
        </w:rPr>
        <w:t>separation</w:t>
      </w:r>
      <w:r w:rsidR="00582F5C" w:rsidRPr="009946D7">
        <w:rPr>
          <w:rFonts w:eastAsia="Times New Roman"/>
        </w:rPr>
        <w:t xml:space="preserve"> of oil in an emulsion from water, such as coolant wastewater. In this study, machining coolant emulsions can have the oil separated and concentrated, with the water phase </w:t>
      </w:r>
      <w:r w:rsidR="00582F5C" w:rsidRPr="00610554">
        <w:rPr>
          <w:rFonts w:eastAsia="Times New Roman"/>
          <w:noProof/>
        </w:rPr>
        <w:t>being discharged</w:t>
      </w:r>
      <w:r w:rsidR="00582F5C" w:rsidRPr="009946D7">
        <w:rPr>
          <w:rFonts w:eastAsia="Times New Roman"/>
        </w:rPr>
        <w:t xml:space="preserve"> to sanitary sewer, and the concentrated oil phase </w:t>
      </w:r>
      <w:r w:rsidR="00582F5C" w:rsidRPr="00610554">
        <w:rPr>
          <w:rFonts w:eastAsia="Times New Roman"/>
          <w:noProof/>
        </w:rPr>
        <w:t>being disposed</w:t>
      </w:r>
      <w:r w:rsidR="00582F5C" w:rsidRPr="009946D7">
        <w:rPr>
          <w:rFonts w:eastAsia="Times New Roman"/>
        </w:rPr>
        <w:t xml:space="preserve"> of at a lower cost. </w:t>
      </w:r>
      <w:r w:rsidR="00582F5C" w:rsidRPr="009946D7">
        <w:t>However, these methods would lead to a huge production of sludge and complicated operations problems</w:t>
      </w:r>
      <w:r w:rsidR="00582F5C">
        <w:t xml:space="preserve"> [10-12].</w:t>
      </w:r>
      <w:r w:rsidR="00582F5C">
        <w:t xml:space="preserve"> </w:t>
      </w:r>
      <w:r w:rsidR="00582F5C">
        <w:fldChar w:fldCharType="begin" w:fldLock="1"/>
      </w:r>
      <w:r w:rsidR="00582F5C">
        <w:instrText>ADDIN CSL_CITATION { "citationItems" : [ { "id" : "ITEM-1", "itemData" : { "DOI" : "10.1016/j.desal.2005.12.081", "ISSN" : "00119164", "abstract" : "One of the most crucial and difficult elements of the bioprocess is its ability to separate between the biosolids and the liquid effluent phase. The objectives of this study were to evaluate practical possibilities to upgrade existing wastewater treatment facilities by operating aerobic treatment based on MBR technology, in order to obtain high quality effluent for sustainable reclamation and reuse of industrial wastewater. Three different types of industrial wastewaters have been biologically treated by MBR working on hollow fiber technology: (a) paper mill; (b) food production; (c) fuel port facilities. The MBR received preliminarily treated effluent by anaerobic, chemical and physical processes, respectively. The experimental work in this study indicated that biological treatment of industrial wastewater containing contaminants characterized by hydrophobicity and/or by low biodegradability would require the adaptation of the MBR operation conditions, by lowering cell residence time and MLVSS in the bioreactor and by increasing the amounts of excess biosolids accordingly. The effluent was of high quality and could be considered for reuse in paper mill and food production. ?? 2006.", "author" : [ { "dropping-particle" : "", "family" : "Galil", "given" : "N. I.", "non-dropping-particle" : "", "parse-names" : false, "suffix" : "" }, { "dropping-particle" : "", "family" : "Levinsky", "given" : "Y.", "non-dropping-particle" : "", "parse-names" : false, "suffix" : "" } ], "container-title" : "Desalination", "id" : "ITEM-1", "issue" : "1-3", "issued" : { "date-parts" : [ [ "2007" ] ] }, "page" : "411-417", "title" : "Sustainable reclamation and reuse of industrial wastewater including membrane bioreactor technologies: case studies", "type" : "article-journal", "volume" : "202" }, "uris" : [ "http://www.mendeley.com/documents/?uuid=58190c57-32b3-4606-a30a-d4b4913aadec" ] } ], "mendeley" : { "formattedCitation" : "(Galil and Levinsky, 2007)", "plainTextFormattedCitation" : "(Galil and Levinsky, 2007)", "previouslyFormattedCitation" : "(Galil and Levinsky, 2007)" }, "properties" : { "noteIndex" : 0 }, "schema" : "https://github.com/citation-style-language/schema/raw/master/csl-citation.json" }</w:instrText>
      </w:r>
      <w:r w:rsidR="00582F5C">
        <w:fldChar w:fldCharType="separate"/>
      </w:r>
      <w:r w:rsidR="00582F5C" w:rsidRPr="000A77C2">
        <w:rPr>
          <w:noProof/>
        </w:rPr>
        <w:t>(Galil and Levinsky, 2007)</w:t>
      </w:r>
      <w:r w:rsidR="00582F5C">
        <w:fldChar w:fldCharType="end"/>
      </w:r>
      <w:r w:rsidR="00582F5C" w:rsidRPr="009946D7">
        <w:t>;</w:t>
      </w:r>
      <w:r w:rsidR="00582F5C">
        <w:t xml:space="preserve"> </w:t>
      </w:r>
      <w:r w:rsidR="00582F5C">
        <w:fldChar w:fldCharType="begin" w:fldLock="1"/>
      </w:r>
      <w:r w:rsidR="00582F5C">
        <w:instrText>ADDIN CSL_CITATION { "citationItems" : [ { "id" : "ITEM-1", "itemData" : { "author" : [ { "dropping-particle" : "", "family" : "Judd", "given" : "S.", "non-dropping-particle" : "", "parse-names" : false, "suffix" : "" } ], "edition" : "2nd", "id" : "ITEM-1", "issued" : { "date-parts" : [ [ "2011" ] ] }, "publisher" : "Butterworth-Heinenemann", "title" : "The MBR Book, Principles and Applications of Membrane Bioreactors for Water and Wastewater Treatment", "type" : "book" }, "uris" : [ "http://www.mendeley.com/documents/?uuid=47099343-5367-42fe-a2db-1518bae43d63" ] } ], "mendeley" : { "formattedCitation" : "(Judd, 2011)", "plainTextFormattedCitation" : "(Judd, 2011)", "previouslyFormattedCitation" : "(Judd, 2011)" }, "properties" : { "noteIndex" : 0 }, "schema" : "https://github.com/citation-style-language/schema/raw/master/csl-citation.json" }</w:instrText>
      </w:r>
      <w:r w:rsidR="00582F5C">
        <w:fldChar w:fldCharType="separate"/>
      </w:r>
      <w:r w:rsidR="00582F5C" w:rsidRPr="000A77C2">
        <w:rPr>
          <w:noProof/>
        </w:rPr>
        <w:t>(Judd, 2011)</w:t>
      </w:r>
      <w:r w:rsidR="00582F5C">
        <w:fldChar w:fldCharType="end"/>
      </w:r>
      <w:r w:rsidR="00582F5C" w:rsidRPr="009946D7">
        <w:t>;</w:t>
      </w:r>
      <w:r w:rsidR="00582F5C">
        <w:t xml:space="preserve"> </w:t>
      </w:r>
      <w:r w:rsidR="00582F5C">
        <w:fldChar w:fldCharType="begin" w:fldLock="1"/>
      </w:r>
      <w:r w:rsidR="00582F5C">
        <w:instrText>ADDIN CSL_CITATION { "citationItems" : [ { "id" : "ITEM-1", "itemData" : { "author" : [ { "dropping-particle" : "", "family" : "Kalyandurg", "given" : "I. B.", "non-dropping-particle" : "", "parse-names" : false, "suffix" : "" } ], "id" : "ITEM-1", "issued" : { "date-parts" : [ [ "2003" ] ] }, "publisher" : "King Fahd University", "title" : "Study of Reaction Kinetics of a Submerged Membrane Activated Sludge Process", "type" : "thesis" }, "uris" : [ "http://www.mendeley.com/documents/?uuid=8370ce0b-34b4-4ad0-a5f2-52cb956a2d62" ] } ], "mendeley" : { "formattedCitation" : "(Kalyandurg, 2003)", "plainTextFormattedCitation" : "(Kalyandurg, 2003)", "previouslyFormattedCitation" : "(Kalyandurg, 2003)" }, "properties" : { "noteIndex" : 0 }, "schema" : "https://github.com/citation-style-language/schema/raw/master/csl-citation.json" }</w:instrText>
      </w:r>
      <w:r w:rsidR="00582F5C">
        <w:fldChar w:fldCharType="separate"/>
      </w:r>
      <w:r w:rsidR="00582F5C" w:rsidRPr="000A77C2">
        <w:rPr>
          <w:noProof/>
        </w:rPr>
        <w:t>(Kalyandurg, 2003)</w:t>
      </w:r>
      <w:r w:rsidR="00582F5C">
        <w:fldChar w:fldCharType="end"/>
      </w:r>
      <w:r w:rsidR="00582F5C" w:rsidRPr="009946D7">
        <w:t>.</w:t>
      </w:r>
      <w:r w:rsidR="00582F5C">
        <w:t xml:space="preserve"> Table 1 </w:t>
      </w:r>
      <w:r w:rsidR="00E83A9C">
        <w:t>showed the component of coolant wastewater from machining process.</w:t>
      </w:r>
    </w:p>
    <w:p w:rsidR="00E83A9C" w:rsidRDefault="00E83A9C" w:rsidP="008F058C">
      <w:pPr>
        <w:pStyle w:val="TTPParagraphothers"/>
      </w:pPr>
    </w:p>
    <w:p w:rsidR="00E83A9C" w:rsidRPr="009946D7" w:rsidRDefault="00E83A9C" w:rsidP="00E83A9C">
      <w:pPr>
        <w:pStyle w:val="KaryaIlmiahTabelJudul"/>
      </w:pPr>
      <w:bookmarkStart w:id="0" w:name="_Ref482087845"/>
      <w:r w:rsidRPr="009946D7">
        <w:t xml:space="preserve">Table </w:t>
      </w:r>
      <w:r w:rsidRPr="009946D7">
        <w:fldChar w:fldCharType="begin"/>
      </w:r>
      <w:r w:rsidRPr="009946D7">
        <w:instrText xml:space="preserve"> STYLEREF 1 \s </w:instrText>
      </w:r>
      <w:r w:rsidRPr="009946D7">
        <w:fldChar w:fldCharType="separate"/>
      </w:r>
      <w:r>
        <w:rPr>
          <w:noProof/>
        </w:rPr>
        <w:t>1</w:t>
      </w:r>
      <w:r w:rsidRPr="009946D7">
        <w:fldChar w:fldCharType="end"/>
      </w:r>
      <w:bookmarkEnd w:id="0"/>
      <w:r w:rsidRPr="009946D7">
        <w:t xml:space="preserve"> </w:t>
      </w:r>
      <w:r w:rsidRPr="009946D7">
        <w:tab/>
        <w:t>Component of wastewater of nanofluids machining process.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015"/>
        <w:gridCol w:w="4343"/>
        <w:gridCol w:w="3668"/>
      </w:tblGrid>
      <w:tr w:rsidR="00E83A9C" w:rsidRPr="009946D7" w:rsidTr="000944A0">
        <w:tc>
          <w:tcPr>
            <w:tcW w:w="562" w:type="pct"/>
            <w:tcBorders>
              <w:bottom w:val="single" w:sz="4" w:space="0" w:color="auto"/>
            </w:tcBorders>
          </w:tcPr>
          <w:p w:rsidR="00E83A9C" w:rsidRPr="009946D7" w:rsidRDefault="00E83A9C" w:rsidP="000944A0">
            <w:pPr>
              <w:pStyle w:val="Normal11"/>
            </w:pPr>
            <w:r w:rsidRPr="009946D7">
              <w:t>No</w:t>
            </w:r>
          </w:p>
        </w:tc>
        <w:tc>
          <w:tcPr>
            <w:tcW w:w="2406" w:type="pct"/>
            <w:tcBorders>
              <w:bottom w:val="single" w:sz="4" w:space="0" w:color="auto"/>
            </w:tcBorders>
          </w:tcPr>
          <w:p w:rsidR="00E83A9C" w:rsidRPr="009946D7" w:rsidRDefault="00E83A9C" w:rsidP="000944A0">
            <w:pPr>
              <w:pStyle w:val="Normal11"/>
            </w:pPr>
            <w:r w:rsidRPr="009946D7">
              <w:t>Component</w:t>
            </w:r>
          </w:p>
        </w:tc>
        <w:tc>
          <w:tcPr>
            <w:tcW w:w="2032" w:type="pct"/>
            <w:tcBorders>
              <w:bottom w:val="single" w:sz="4" w:space="0" w:color="auto"/>
            </w:tcBorders>
          </w:tcPr>
          <w:p w:rsidR="00E83A9C" w:rsidRPr="009946D7" w:rsidRDefault="00E83A9C" w:rsidP="000944A0">
            <w:pPr>
              <w:pStyle w:val="Normal11"/>
            </w:pPr>
            <w:r w:rsidRPr="009946D7">
              <w:t>Percentage, %</w:t>
            </w:r>
          </w:p>
        </w:tc>
      </w:tr>
      <w:tr w:rsidR="00E83A9C" w:rsidRPr="009946D7" w:rsidTr="000944A0">
        <w:tc>
          <w:tcPr>
            <w:tcW w:w="562" w:type="pct"/>
            <w:tcBorders>
              <w:bottom w:val="nil"/>
            </w:tcBorders>
          </w:tcPr>
          <w:p w:rsidR="00E83A9C" w:rsidRPr="009946D7" w:rsidRDefault="00E83A9C" w:rsidP="000944A0">
            <w:pPr>
              <w:pStyle w:val="Normal11"/>
            </w:pPr>
            <w:r w:rsidRPr="009946D7">
              <w:t>1.</w:t>
            </w:r>
          </w:p>
        </w:tc>
        <w:tc>
          <w:tcPr>
            <w:tcW w:w="2406" w:type="pct"/>
            <w:tcBorders>
              <w:bottom w:val="nil"/>
            </w:tcBorders>
          </w:tcPr>
          <w:p w:rsidR="00E83A9C" w:rsidRPr="009946D7" w:rsidRDefault="00E83A9C" w:rsidP="000944A0">
            <w:pPr>
              <w:pStyle w:val="Normal11"/>
            </w:pPr>
            <w:r w:rsidRPr="009946D7">
              <w:t>Titanium</w:t>
            </w:r>
          </w:p>
        </w:tc>
        <w:tc>
          <w:tcPr>
            <w:tcW w:w="2032" w:type="pct"/>
            <w:tcBorders>
              <w:bottom w:val="nil"/>
            </w:tcBorders>
          </w:tcPr>
          <w:p w:rsidR="00E83A9C" w:rsidRPr="009946D7" w:rsidRDefault="00E83A9C" w:rsidP="000944A0">
            <w:pPr>
              <w:pStyle w:val="Normal11"/>
            </w:pPr>
            <w:r w:rsidRPr="009946D7">
              <w:t>0.03</w:t>
            </w:r>
          </w:p>
        </w:tc>
      </w:tr>
      <w:tr w:rsidR="00E83A9C" w:rsidRPr="009946D7" w:rsidTr="000944A0">
        <w:tc>
          <w:tcPr>
            <w:tcW w:w="562" w:type="pct"/>
            <w:tcBorders>
              <w:top w:val="nil"/>
              <w:bottom w:val="nil"/>
            </w:tcBorders>
          </w:tcPr>
          <w:p w:rsidR="00E83A9C" w:rsidRPr="009946D7" w:rsidRDefault="00E83A9C" w:rsidP="000944A0">
            <w:pPr>
              <w:pStyle w:val="Normal11"/>
            </w:pPr>
            <w:r w:rsidRPr="009946D7">
              <w:t>2.</w:t>
            </w:r>
          </w:p>
        </w:tc>
        <w:tc>
          <w:tcPr>
            <w:tcW w:w="2406" w:type="pct"/>
            <w:tcBorders>
              <w:top w:val="nil"/>
              <w:bottom w:val="nil"/>
            </w:tcBorders>
          </w:tcPr>
          <w:p w:rsidR="00E83A9C" w:rsidRPr="009946D7" w:rsidRDefault="00E83A9C" w:rsidP="000944A0">
            <w:pPr>
              <w:pStyle w:val="Normal11"/>
            </w:pPr>
            <w:r w:rsidRPr="009946D7">
              <w:t>Aluminum</w:t>
            </w:r>
          </w:p>
        </w:tc>
        <w:tc>
          <w:tcPr>
            <w:tcW w:w="2032" w:type="pct"/>
            <w:tcBorders>
              <w:top w:val="nil"/>
              <w:bottom w:val="nil"/>
            </w:tcBorders>
          </w:tcPr>
          <w:p w:rsidR="00E83A9C" w:rsidRPr="009946D7" w:rsidRDefault="00E83A9C" w:rsidP="000944A0">
            <w:pPr>
              <w:pStyle w:val="Normal11"/>
            </w:pPr>
            <w:r w:rsidRPr="009946D7">
              <w:t>0.001</w:t>
            </w:r>
          </w:p>
        </w:tc>
      </w:tr>
      <w:tr w:rsidR="00E83A9C" w:rsidRPr="009946D7" w:rsidTr="000944A0">
        <w:tc>
          <w:tcPr>
            <w:tcW w:w="562" w:type="pct"/>
            <w:tcBorders>
              <w:top w:val="nil"/>
              <w:bottom w:val="nil"/>
            </w:tcBorders>
          </w:tcPr>
          <w:p w:rsidR="00E83A9C" w:rsidRPr="009946D7" w:rsidRDefault="00E83A9C" w:rsidP="000944A0">
            <w:pPr>
              <w:pStyle w:val="Normal11"/>
            </w:pPr>
            <w:r w:rsidRPr="009946D7">
              <w:t>3.</w:t>
            </w:r>
          </w:p>
        </w:tc>
        <w:tc>
          <w:tcPr>
            <w:tcW w:w="2406" w:type="pct"/>
            <w:tcBorders>
              <w:top w:val="nil"/>
              <w:bottom w:val="nil"/>
            </w:tcBorders>
          </w:tcPr>
          <w:p w:rsidR="00E83A9C" w:rsidRPr="009946D7" w:rsidRDefault="00E83A9C" w:rsidP="000944A0">
            <w:pPr>
              <w:pStyle w:val="Normal11"/>
            </w:pPr>
            <w:r w:rsidRPr="009946D7">
              <w:t>Cobalt</w:t>
            </w:r>
          </w:p>
        </w:tc>
        <w:tc>
          <w:tcPr>
            <w:tcW w:w="2032" w:type="pct"/>
            <w:tcBorders>
              <w:top w:val="nil"/>
              <w:bottom w:val="nil"/>
            </w:tcBorders>
          </w:tcPr>
          <w:p w:rsidR="00E83A9C" w:rsidRPr="009946D7" w:rsidRDefault="00E83A9C" w:rsidP="000944A0">
            <w:pPr>
              <w:pStyle w:val="Normal11"/>
            </w:pPr>
            <w:r w:rsidRPr="009946D7">
              <w:t>0.018</w:t>
            </w:r>
          </w:p>
        </w:tc>
      </w:tr>
      <w:tr w:rsidR="00E83A9C" w:rsidRPr="009946D7" w:rsidTr="000944A0">
        <w:tc>
          <w:tcPr>
            <w:tcW w:w="562" w:type="pct"/>
            <w:tcBorders>
              <w:top w:val="nil"/>
            </w:tcBorders>
          </w:tcPr>
          <w:p w:rsidR="00E83A9C" w:rsidRPr="009946D7" w:rsidRDefault="00E83A9C" w:rsidP="000944A0">
            <w:pPr>
              <w:pStyle w:val="Normal11"/>
            </w:pPr>
            <w:r w:rsidRPr="009946D7">
              <w:t>4.</w:t>
            </w:r>
          </w:p>
        </w:tc>
        <w:tc>
          <w:tcPr>
            <w:tcW w:w="2406" w:type="pct"/>
            <w:tcBorders>
              <w:top w:val="nil"/>
            </w:tcBorders>
          </w:tcPr>
          <w:p w:rsidR="00E83A9C" w:rsidRPr="009946D7" w:rsidRDefault="00E83A9C" w:rsidP="000944A0">
            <w:pPr>
              <w:pStyle w:val="Normal11"/>
            </w:pPr>
            <w:r w:rsidRPr="009946D7">
              <w:t>Coconut oil</w:t>
            </w:r>
          </w:p>
        </w:tc>
        <w:tc>
          <w:tcPr>
            <w:tcW w:w="2032" w:type="pct"/>
            <w:tcBorders>
              <w:top w:val="nil"/>
            </w:tcBorders>
          </w:tcPr>
          <w:p w:rsidR="00E83A9C" w:rsidRPr="009946D7" w:rsidRDefault="00E83A9C" w:rsidP="000944A0">
            <w:pPr>
              <w:pStyle w:val="Normal11"/>
            </w:pPr>
            <w:r w:rsidRPr="009946D7">
              <w:t>94</w:t>
            </w:r>
          </w:p>
        </w:tc>
      </w:tr>
    </w:tbl>
    <w:p w:rsidR="00E83A9C" w:rsidRDefault="00E83A9C" w:rsidP="008F058C">
      <w:pPr>
        <w:pStyle w:val="TTPParagraphothers"/>
      </w:pPr>
    </w:p>
    <w:p w:rsidR="00E83A9C" w:rsidRPr="004A7694" w:rsidRDefault="00E83A9C" w:rsidP="008F058C">
      <w:pPr>
        <w:pStyle w:val="TTPParagraphothers"/>
        <w:rPr>
          <w:sz w:val="22"/>
          <w:szCs w:val="22"/>
        </w:rPr>
      </w:pPr>
      <w:r w:rsidRPr="004A7694">
        <w:rPr>
          <w:sz w:val="22"/>
          <w:szCs w:val="22"/>
        </w:rPr>
        <w:lastRenderedPageBreak/>
        <w:t>Based on</w:t>
      </w:r>
      <w:r w:rsidRPr="004A7694">
        <w:rPr>
          <w:sz w:val="22"/>
          <w:szCs w:val="22"/>
        </w:rPr>
        <w:t xml:space="preserve"> those data</w:t>
      </w:r>
      <w:r w:rsidR="00EC5218" w:rsidRPr="004A7694">
        <w:rPr>
          <w:sz w:val="22"/>
          <w:szCs w:val="22"/>
        </w:rPr>
        <w:t xml:space="preserve">, the </w:t>
      </w:r>
      <w:r w:rsidR="00506175" w:rsidRPr="004A7694">
        <w:rPr>
          <w:sz w:val="22"/>
          <w:szCs w:val="22"/>
        </w:rPr>
        <w:t>ultrafiltration</w:t>
      </w:r>
      <w:r w:rsidR="00506175" w:rsidRPr="004A7694">
        <w:rPr>
          <w:sz w:val="22"/>
          <w:szCs w:val="22"/>
        </w:rPr>
        <w:t xml:space="preserve"> was </w:t>
      </w:r>
      <w:r w:rsidR="00EC5218" w:rsidRPr="004A7694">
        <w:rPr>
          <w:sz w:val="22"/>
          <w:szCs w:val="22"/>
        </w:rPr>
        <w:t xml:space="preserve">used </w:t>
      </w:r>
      <w:r w:rsidR="00506175" w:rsidRPr="004A7694">
        <w:rPr>
          <w:sz w:val="22"/>
          <w:szCs w:val="22"/>
        </w:rPr>
        <w:t>to remove the inorganic contaminant which soluble in coolant wastewater.</w:t>
      </w:r>
      <w:r w:rsidR="004A7694" w:rsidRPr="004A7694">
        <w:rPr>
          <w:sz w:val="22"/>
          <w:szCs w:val="22"/>
        </w:rPr>
        <w:t xml:space="preserve"> </w:t>
      </w:r>
      <w:r w:rsidR="004A7694" w:rsidRPr="004A7694">
        <w:rPr>
          <w:sz w:val="22"/>
          <w:szCs w:val="22"/>
        </w:rPr>
        <w:t xml:space="preserve">Coconut oil has a long shelf life compared to other oils, lasting up to two years due to its resilience to high temperatures. Coconut oil is best stored in solid form, at temperatures lower than 24.5 </w:t>
      </w:r>
      <m:oMath>
        <m:r>
          <w:rPr>
            <w:rFonts w:ascii="Cambria Math" w:hAnsi="Cambria Math"/>
            <w:sz w:val="22"/>
            <w:szCs w:val="22"/>
          </w:rPr>
          <m:t>℃</m:t>
        </m:r>
      </m:oMath>
      <w:r w:rsidR="004A7694" w:rsidRPr="004A7694">
        <w:rPr>
          <w:sz w:val="22"/>
          <w:szCs w:val="22"/>
        </w:rPr>
        <w:t xml:space="preserve"> (76</w:t>
      </w:r>
      <m:oMath>
        <m:r>
          <w:rPr>
            <w:rFonts w:ascii="Cambria Math" w:hAnsi="Cambria Math"/>
            <w:sz w:val="22"/>
            <w:szCs w:val="22"/>
          </w:rPr>
          <m:t>℉</m:t>
        </m:r>
      </m:oMath>
      <w:r w:rsidR="004A7694" w:rsidRPr="004A7694">
        <w:rPr>
          <w:sz w:val="22"/>
          <w:szCs w:val="22"/>
        </w:rPr>
        <w:t xml:space="preserve">) </w:t>
      </w:r>
      <w:r w:rsidR="004A7694" w:rsidRPr="004A7694">
        <w:rPr>
          <w:noProof/>
          <w:sz w:val="22"/>
          <w:szCs w:val="22"/>
        </w:rPr>
        <w:t>to</w:t>
      </w:r>
      <w:r w:rsidR="004A7694" w:rsidRPr="004A7694">
        <w:rPr>
          <w:sz w:val="22"/>
          <w:szCs w:val="22"/>
        </w:rPr>
        <w:t xml:space="preserve"> extend shelf life. However, unlike most oils, coconut oil will not be damaged by warmer temperatures. Fractionated coconut oil “is a fraction of the whole oil, in which most of the long-chain triglycerides </w:t>
      </w:r>
      <w:r w:rsidR="004A7694" w:rsidRPr="004A7694">
        <w:rPr>
          <w:noProof/>
          <w:sz w:val="22"/>
          <w:szCs w:val="22"/>
        </w:rPr>
        <w:t>are removed</w:t>
      </w:r>
      <w:r w:rsidR="004A7694" w:rsidRPr="004A7694">
        <w:rPr>
          <w:sz w:val="22"/>
          <w:szCs w:val="22"/>
        </w:rPr>
        <w:t xml:space="preserve"> so that only saturated fats remain. It may also refer to as “caprylic/capric triglycerides” or medium-chain triglyceride (MCT) oil because mostly the medium-chain triglycerides caprylic and capric acid </w:t>
      </w:r>
      <w:r w:rsidR="004A7694" w:rsidRPr="004A7694">
        <w:rPr>
          <w:noProof/>
          <w:sz w:val="22"/>
          <w:szCs w:val="22"/>
        </w:rPr>
        <w:t>are left</w:t>
      </w:r>
      <w:r w:rsidR="004A7694" w:rsidRPr="004A7694">
        <w:rPr>
          <w:sz w:val="22"/>
          <w:szCs w:val="22"/>
        </w:rPr>
        <w:t xml:space="preserve"> in the oil. </w:t>
      </w:r>
      <w:r w:rsidR="004A7694" w:rsidRPr="004A7694">
        <w:rPr>
          <w:sz w:val="22"/>
          <w:szCs w:val="22"/>
        </w:rPr>
        <w:t>Table 2 showed the advantages and disadvantages of vegetable oils as coolant.</w:t>
      </w:r>
    </w:p>
    <w:p w:rsidR="004A7694" w:rsidRPr="004A7694" w:rsidRDefault="004A7694" w:rsidP="008F058C">
      <w:pPr>
        <w:pStyle w:val="TTPParagraphothers"/>
        <w:rPr>
          <w:sz w:val="22"/>
          <w:szCs w:val="22"/>
        </w:rPr>
      </w:pPr>
    </w:p>
    <w:p w:rsidR="004A7694" w:rsidRDefault="004A7694" w:rsidP="004A7694">
      <w:pPr>
        <w:pStyle w:val="KaryaIlmiahTabelJudul"/>
        <w:rPr>
          <w:sz w:val="22"/>
          <w:szCs w:val="22"/>
        </w:rPr>
      </w:pPr>
      <w:bookmarkStart w:id="1" w:name="_Ref482089039"/>
      <w:r w:rsidRPr="004A7694">
        <w:rPr>
          <w:sz w:val="22"/>
          <w:szCs w:val="22"/>
        </w:rPr>
        <w:t xml:space="preserve">Table </w:t>
      </w:r>
      <w:r w:rsidRPr="004A7694">
        <w:rPr>
          <w:sz w:val="22"/>
          <w:szCs w:val="22"/>
        </w:rPr>
        <w:fldChar w:fldCharType="begin"/>
      </w:r>
      <w:r w:rsidRPr="004A7694">
        <w:rPr>
          <w:sz w:val="22"/>
          <w:szCs w:val="22"/>
        </w:rPr>
        <w:instrText xml:space="preserve"> STYLEREF 1 \s </w:instrText>
      </w:r>
      <w:r w:rsidRPr="004A7694">
        <w:rPr>
          <w:sz w:val="22"/>
          <w:szCs w:val="22"/>
        </w:rPr>
        <w:fldChar w:fldCharType="separate"/>
      </w:r>
      <w:r w:rsidRPr="004A7694">
        <w:rPr>
          <w:noProof/>
          <w:sz w:val="22"/>
          <w:szCs w:val="22"/>
        </w:rPr>
        <w:t>2</w:t>
      </w:r>
      <w:r w:rsidRPr="004A7694">
        <w:rPr>
          <w:sz w:val="22"/>
          <w:szCs w:val="22"/>
        </w:rPr>
        <w:fldChar w:fldCharType="end"/>
      </w:r>
      <w:bookmarkEnd w:id="1"/>
      <w:r w:rsidRPr="004A7694">
        <w:rPr>
          <w:sz w:val="22"/>
          <w:szCs w:val="22"/>
        </w:rPr>
        <w:t xml:space="preserve"> </w:t>
      </w:r>
      <w:r w:rsidRPr="004A7694">
        <w:rPr>
          <w:sz w:val="22"/>
          <w:szCs w:val="22"/>
        </w:rPr>
        <w:tab/>
        <w:t>Advantages and disadvantages of vegetable oils as lubricants</w:t>
      </w:r>
      <w:r>
        <w:rPr>
          <w:sz w:val="22"/>
          <w:szCs w:val="22"/>
        </w:rPr>
        <w:t xml:space="preserve"> [13]</w:t>
      </w:r>
      <w:r w:rsidRPr="004A7694">
        <w:rPr>
          <w:sz w:val="22"/>
          <w:szCs w:val="22"/>
        </w:rPr>
        <w:t xml:space="preserve"> </w:t>
      </w:r>
      <w:r w:rsidRPr="004A7694">
        <w:rPr>
          <w:sz w:val="22"/>
          <w:szCs w:val="22"/>
        </w:rPr>
        <w:fldChar w:fldCharType="begin" w:fldLock="1"/>
      </w:r>
      <w:r w:rsidRPr="004A7694">
        <w:rPr>
          <w:sz w:val="22"/>
          <w:szCs w:val="22"/>
        </w:rPr>
        <w:instrText>ADDIN CSL_CITATION { "citationItems" : [ { "id" : "ITEM-1", "itemData" : { "DOI" : "10.1016/j.triboint.2009.12.065", "ISBN" : "0301679X", "ISSN" : "0301679X", "abstract" : "A review is made here to understand the application of vegetable oils as potential metal working fluids. The study highlights the contributions from more than sixty authors on vegetable based oils as emerging environmental friendly cutting fluids. The performance of these oils as emulsions and straight oils for various materials and machining conditions are reported. The study focuses on the evolution of vegetable oils as cutting fluids in manufacturing sector, particularly, metal cutting and metal forming. It is observed that, most of the contributions are directed to develop and commercialise the cutting fluids based on vegetable oils. However, soyabean, sunflower and rapeseed seem to possess the relevant properties as a potential cutting fluid. ?? 2009 Elsevier Ltd. All rights reserved.", "author" : [ { "dropping-particle" : "", "family" : "Shashidhara", "given" : "Y. M.", "non-dropping-particle" : "", "parse-names" : false, "suffix" : "" }, { "dropping-particle" : "", "family" : "Jayaram", "given" : "S. R.", "non-dropping-particle" : "", "parse-names" : false, "suffix" : "" } ], "container-title" : "Tribology International", "id" : "ITEM-1", "issue" : "5-6", "issued" : { "date-parts" : [ [ "2010" ] ] }, "page" : "1073-1081", "publisher" : "Elsevier", "title" : "Vegetable oils as a potential cutting fluid-An evolution", "type" : "article-journal", "volume" : "43" }, "uris" : [ "http://www.mendeley.com/documents/?uuid=f405e6f3-fc87-4df3-997f-2522f2fd9488" ] } ], "mendeley" : { "formattedCitation" : "(Shashidhara and Jayaram, 2010)", "plainTextFormattedCitation" : "(Shashidhara and Jayaram, 2010)", "previouslyFormattedCitation" : "(Shashidhara and Jayaram, 2010)" }, "properties" : { "noteIndex" : 0 }, "schema" : "https://github.com/citation-style-language/schema/raw/master/csl-citation.json" }</w:instrText>
      </w:r>
      <w:r w:rsidRPr="004A7694">
        <w:rPr>
          <w:sz w:val="22"/>
          <w:szCs w:val="22"/>
        </w:rPr>
        <w:fldChar w:fldCharType="separate"/>
      </w:r>
      <w:r w:rsidRPr="004A7694">
        <w:rPr>
          <w:noProof/>
          <w:sz w:val="22"/>
          <w:szCs w:val="22"/>
        </w:rPr>
        <w:t>(Shashidhara and Jayaram, 2010)</w:t>
      </w:r>
      <w:r w:rsidRPr="004A7694">
        <w:rPr>
          <w:sz w:val="22"/>
          <w:szCs w:val="22"/>
        </w:rPr>
        <w:fldChar w:fldCharType="end"/>
      </w:r>
      <w:r w:rsidRPr="004A7694">
        <w:rPr>
          <w:sz w:val="22"/>
          <w:szCs w:val="22"/>
        </w:rPr>
        <w:t>.</w:t>
      </w:r>
    </w:p>
    <w:p w:rsidR="004A7694" w:rsidRPr="004A7694" w:rsidRDefault="004A7694" w:rsidP="004A7694">
      <w:pPr>
        <w:pStyle w:val="Normal11"/>
      </w:pPr>
    </w:p>
    <w:tbl>
      <w:tblPr>
        <w:tblStyle w:val="TableGrid"/>
        <w:tblW w:w="0" w:type="auto"/>
        <w:tblInd w:w="673" w:type="dxa"/>
        <w:tblBorders>
          <w:left w:val="none" w:sz="0" w:space="0" w:color="auto"/>
          <w:right w:val="none" w:sz="0" w:space="0" w:color="auto"/>
          <w:insideV w:val="none" w:sz="0" w:space="0" w:color="auto"/>
        </w:tblBorders>
        <w:tblLook w:val="04A0" w:firstRow="1" w:lastRow="0" w:firstColumn="1" w:lastColumn="0" w:noHBand="0" w:noVBand="1"/>
      </w:tblPr>
      <w:tblGrid>
        <w:gridCol w:w="3831"/>
        <w:gridCol w:w="3822"/>
      </w:tblGrid>
      <w:tr w:rsidR="004A7694" w:rsidRPr="004A7694" w:rsidTr="004A7694">
        <w:tc>
          <w:tcPr>
            <w:tcW w:w="3831" w:type="dxa"/>
            <w:tcBorders>
              <w:bottom w:val="single" w:sz="4" w:space="0" w:color="auto"/>
            </w:tcBorders>
            <w:vAlign w:val="center"/>
          </w:tcPr>
          <w:p w:rsidR="004A7694" w:rsidRPr="004A7694" w:rsidRDefault="004A7694" w:rsidP="000944A0">
            <w:pPr>
              <w:pStyle w:val="Normal11"/>
              <w:rPr>
                <w:rFonts w:cs="Times New Roman"/>
              </w:rPr>
            </w:pPr>
            <w:r w:rsidRPr="004A7694">
              <w:rPr>
                <w:rFonts w:cs="Times New Roman"/>
              </w:rPr>
              <w:t>Advantages</w:t>
            </w:r>
          </w:p>
        </w:tc>
        <w:tc>
          <w:tcPr>
            <w:tcW w:w="3822" w:type="dxa"/>
            <w:tcBorders>
              <w:bottom w:val="single" w:sz="4" w:space="0" w:color="auto"/>
            </w:tcBorders>
            <w:vAlign w:val="center"/>
          </w:tcPr>
          <w:p w:rsidR="004A7694" w:rsidRPr="004A7694" w:rsidRDefault="004A7694" w:rsidP="000944A0">
            <w:pPr>
              <w:pStyle w:val="Normal11"/>
              <w:rPr>
                <w:rFonts w:cs="Times New Roman"/>
              </w:rPr>
            </w:pPr>
            <w:r w:rsidRPr="004A7694">
              <w:rPr>
                <w:rFonts w:cs="Times New Roman"/>
              </w:rPr>
              <w:t>Disadvantages</w:t>
            </w:r>
          </w:p>
        </w:tc>
      </w:tr>
      <w:tr w:rsidR="004A7694" w:rsidRPr="004A7694" w:rsidTr="004A7694">
        <w:tc>
          <w:tcPr>
            <w:tcW w:w="3831" w:type="dxa"/>
            <w:tcBorders>
              <w:top w:val="single" w:sz="4" w:space="0" w:color="auto"/>
              <w:bottom w:val="nil"/>
            </w:tcBorders>
            <w:vAlign w:val="center"/>
          </w:tcPr>
          <w:p w:rsidR="004A7694" w:rsidRPr="004A7694" w:rsidRDefault="004A7694" w:rsidP="000944A0">
            <w:pPr>
              <w:pStyle w:val="Normal11"/>
              <w:rPr>
                <w:rFonts w:cs="Times New Roman"/>
              </w:rPr>
            </w:pPr>
            <w:r w:rsidRPr="004A7694">
              <w:rPr>
                <w:rFonts w:cs="Times New Roman"/>
              </w:rPr>
              <w:t>High biodegradability</w:t>
            </w:r>
          </w:p>
        </w:tc>
        <w:tc>
          <w:tcPr>
            <w:tcW w:w="3822" w:type="dxa"/>
            <w:tcBorders>
              <w:top w:val="single" w:sz="4" w:space="0" w:color="auto"/>
              <w:bottom w:val="nil"/>
            </w:tcBorders>
            <w:vAlign w:val="center"/>
          </w:tcPr>
          <w:p w:rsidR="004A7694" w:rsidRPr="004A7694" w:rsidRDefault="004A7694" w:rsidP="000944A0">
            <w:pPr>
              <w:pStyle w:val="Normal11"/>
              <w:rPr>
                <w:rFonts w:cs="Times New Roman"/>
              </w:rPr>
            </w:pPr>
            <w:r w:rsidRPr="004A7694">
              <w:rPr>
                <w:rFonts w:cs="Times New Roman"/>
              </w:rPr>
              <w:t>Low thermal stability</w:t>
            </w:r>
          </w:p>
        </w:tc>
      </w:tr>
      <w:tr w:rsidR="004A7694" w:rsidRPr="004A7694" w:rsidTr="004A7694">
        <w:tc>
          <w:tcPr>
            <w:tcW w:w="3831" w:type="dxa"/>
            <w:tcBorders>
              <w:top w:val="nil"/>
              <w:bottom w:val="nil"/>
            </w:tcBorders>
            <w:vAlign w:val="center"/>
          </w:tcPr>
          <w:p w:rsidR="004A7694" w:rsidRPr="004A7694" w:rsidRDefault="004A7694" w:rsidP="000944A0">
            <w:pPr>
              <w:pStyle w:val="Normal11"/>
              <w:rPr>
                <w:rFonts w:cs="Times New Roman"/>
              </w:rPr>
            </w:pPr>
            <w:r w:rsidRPr="004A7694">
              <w:rPr>
                <w:rFonts w:cs="Times New Roman"/>
              </w:rPr>
              <w:t>Low pollution of the environment</w:t>
            </w:r>
          </w:p>
        </w:tc>
        <w:tc>
          <w:tcPr>
            <w:tcW w:w="3822" w:type="dxa"/>
            <w:tcBorders>
              <w:top w:val="nil"/>
              <w:bottom w:val="nil"/>
            </w:tcBorders>
            <w:vAlign w:val="center"/>
          </w:tcPr>
          <w:p w:rsidR="004A7694" w:rsidRPr="004A7694" w:rsidRDefault="004A7694" w:rsidP="000944A0">
            <w:pPr>
              <w:pStyle w:val="Normal11"/>
              <w:rPr>
                <w:rFonts w:cs="Times New Roman"/>
              </w:rPr>
            </w:pPr>
            <w:r w:rsidRPr="004A7694">
              <w:rPr>
                <w:rFonts w:cs="Times New Roman"/>
              </w:rPr>
              <w:t>Oxidative stability</w:t>
            </w:r>
          </w:p>
        </w:tc>
      </w:tr>
      <w:tr w:rsidR="004A7694" w:rsidRPr="004A7694" w:rsidTr="004A7694">
        <w:tc>
          <w:tcPr>
            <w:tcW w:w="3831" w:type="dxa"/>
            <w:tcBorders>
              <w:top w:val="nil"/>
              <w:bottom w:val="nil"/>
            </w:tcBorders>
            <w:vAlign w:val="center"/>
          </w:tcPr>
          <w:p w:rsidR="004A7694" w:rsidRPr="004A7694" w:rsidRDefault="004A7694" w:rsidP="000944A0">
            <w:pPr>
              <w:pStyle w:val="Normal11"/>
              <w:rPr>
                <w:rFonts w:cs="Times New Roman"/>
              </w:rPr>
            </w:pPr>
            <w:r w:rsidRPr="004A7694">
              <w:rPr>
                <w:rFonts w:cs="Times New Roman"/>
              </w:rPr>
              <w:t>Compatibility with additive</w:t>
            </w:r>
          </w:p>
        </w:tc>
        <w:tc>
          <w:tcPr>
            <w:tcW w:w="3822" w:type="dxa"/>
            <w:tcBorders>
              <w:top w:val="nil"/>
              <w:bottom w:val="nil"/>
            </w:tcBorders>
            <w:vAlign w:val="center"/>
          </w:tcPr>
          <w:p w:rsidR="004A7694" w:rsidRPr="004A7694" w:rsidRDefault="004A7694" w:rsidP="000944A0">
            <w:pPr>
              <w:pStyle w:val="Normal11"/>
              <w:rPr>
                <w:rFonts w:cs="Times New Roman"/>
              </w:rPr>
            </w:pPr>
            <w:r w:rsidRPr="004A7694">
              <w:rPr>
                <w:rFonts w:cs="Times New Roman"/>
              </w:rPr>
              <w:t>High freezing points</w:t>
            </w:r>
          </w:p>
        </w:tc>
      </w:tr>
      <w:tr w:rsidR="004A7694" w:rsidRPr="004A7694" w:rsidTr="004A7694">
        <w:tc>
          <w:tcPr>
            <w:tcW w:w="3831" w:type="dxa"/>
            <w:tcBorders>
              <w:top w:val="nil"/>
              <w:bottom w:val="nil"/>
            </w:tcBorders>
            <w:vAlign w:val="center"/>
          </w:tcPr>
          <w:p w:rsidR="004A7694" w:rsidRPr="004A7694" w:rsidRDefault="004A7694" w:rsidP="000944A0">
            <w:pPr>
              <w:pStyle w:val="Normal11"/>
              <w:rPr>
                <w:rFonts w:cs="Times New Roman"/>
              </w:rPr>
            </w:pPr>
            <w:r w:rsidRPr="004A7694">
              <w:rPr>
                <w:rFonts w:cs="Times New Roman"/>
              </w:rPr>
              <w:t>Low production cost</w:t>
            </w:r>
          </w:p>
        </w:tc>
        <w:tc>
          <w:tcPr>
            <w:tcW w:w="3822" w:type="dxa"/>
            <w:tcBorders>
              <w:top w:val="nil"/>
              <w:bottom w:val="nil"/>
            </w:tcBorders>
            <w:vAlign w:val="center"/>
          </w:tcPr>
          <w:p w:rsidR="004A7694" w:rsidRPr="004A7694" w:rsidRDefault="004A7694" w:rsidP="000944A0">
            <w:pPr>
              <w:pStyle w:val="Normal11"/>
              <w:rPr>
                <w:rFonts w:cs="Times New Roman"/>
              </w:rPr>
            </w:pPr>
            <w:r w:rsidRPr="004A7694">
              <w:rPr>
                <w:rFonts w:cs="Times New Roman"/>
              </w:rPr>
              <w:t>Poor corrosion protection</w:t>
            </w:r>
          </w:p>
        </w:tc>
      </w:tr>
      <w:tr w:rsidR="004A7694" w:rsidRPr="004A7694" w:rsidTr="004A7694">
        <w:tc>
          <w:tcPr>
            <w:tcW w:w="3831" w:type="dxa"/>
            <w:tcBorders>
              <w:top w:val="nil"/>
              <w:bottom w:val="nil"/>
            </w:tcBorders>
            <w:vAlign w:val="center"/>
          </w:tcPr>
          <w:p w:rsidR="004A7694" w:rsidRPr="004A7694" w:rsidRDefault="004A7694" w:rsidP="000944A0">
            <w:pPr>
              <w:pStyle w:val="Normal11"/>
              <w:rPr>
                <w:rFonts w:cs="Times New Roman"/>
              </w:rPr>
            </w:pPr>
            <w:r w:rsidRPr="004A7694">
              <w:rPr>
                <w:rFonts w:cs="Times New Roman"/>
              </w:rPr>
              <w:t>Wide production possibilities</w:t>
            </w:r>
          </w:p>
        </w:tc>
        <w:tc>
          <w:tcPr>
            <w:tcW w:w="3822" w:type="dxa"/>
            <w:tcBorders>
              <w:top w:val="nil"/>
              <w:bottom w:val="nil"/>
            </w:tcBorders>
            <w:vAlign w:val="center"/>
          </w:tcPr>
          <w:p w:rsidR="004A7694" w:rsidRPr="004A7694" w:rsidRDefault="004A7694" w:rsidP="000944A0">
            <w:pPr>
              <w:pStyle w:val="Normal11"/>
              <w:rPr>
                <w:rFonts w:cs="Times New Roman"/>
              </w:rPr>
            </w:pPr>
          </w:p>
        </w:tc>
      </w:tr>
      <w:tr w:rsidR="004A7694" w:rsidRPr="004A7694" w:rsidTr="004A7694">
        <w:tc>
          <w:tcPr>
            <w:tcW w:w="3831" w:type="dxa"/>
            <w:tcBorders>
              <w:top w:val="nil"/>
              <w:bottom w:val="nil"/>
            </w:tcBorders>
            <w:vAlign w:val="center"/>
          </w:tcPr>
          <w:p w:rsidR="004A7694" w:rsidRPr="004A7694" w:rsidRDefault="004A7694" w:rsidP="000944A0">
            <w:pPr>
              <w:pStyle w:val="Normal11"/>
              <w:rPr>
                <w:rFonts w:cs="Times New Roman"/>
              </w:rPr>
            </w:pPr>
            <w:r w:rsidRPr="004A7694">
              <w:rPr>
                <w:rFonts w:cs="Times New Roman"/>
              </w:rPr>
              <w:t>Low toxicity</w:t>
            </w:r>
          </w:p>
        </w:tc>
        <w:tc>
          <w:tcPr>
            <w:tcW w:w="3822" w:type="dxa"/>
            <w:tcBorders>
              <w:top w:val="nil"/>
              <w:bottom w:val="nil"/>
            </w:tcBorders>
            <w:vAlign w:val="center"/>
          </w:tcPr>
          <w:p w:rsidR="004A7694" w:rsidRPr="004A7694" w:rsidRDefault="004A7694" w:rsidP="000944A0">
            <w:pPr>
              <w:pStyle w:val="Normal11"/>
              <w:rPr>
                <w:rFonts w:cs="Times New Roman"/>
              </w:rPr>
            </w:pPr>
          </w:p>
        </w:tc>
      </w:tr>
      <w:tr w:rsidR="004A7694" w:rsidRPr="004A7694" w:rsidTr="004A7694">
        <w:tc>
          <w:tcPr>
            <w:tcW w:w="3831" w:type="dxa"/>
            <w:tcBorders>
              <w:top w:val="nil"/>
              <w:bottom w:val="single" w:sz="4" w:space="0" w:color="auto"/>
            </w:tcBorders>
            <w:vAlign w:val="center"/>
          </w:tcPr>
          <w:p w:rsidR="004A7694" w:rsidRPr="004A7694" w:rsidRDefault="004A7694" w:rsidP="000944A0">
            <w:pPr>
              <w:pStyle w:val="Normal11"/>
              <w:rPr>
                <w:rFonts w:cs="Times New Roman"/>
              </w:rPr>
            </w:pPr>
            <w:r w:rsidRPr="004A7694">
              <w:rPr>
                <w:rFonts w:cs="Times New Roman"/>
              </w:rPr>
              <w:t>High flash points</w:t>
            </w:r>
          </w:p>
        </w:tc>
        <w:tc>
          <w:tcPr>
            <w:tcW w:w="3822" w:type="dxa"/>
            <w:tcBorders>
              <w:top w:val="nil"/>
              <w:bottom w:val="single" w:sz="4" w:space="0" w:color="auto"/>
            </w:tcBorders>
            <w:vAlign w:val="center"/>
          </w:tcPr>
          <w:p w:rsidR="004A7694" w:rsidRPr="004A7694" w:rsidRDefault="004A7694" w:rsidP="000944A0">
            <w:pPr>
              <w:pStyle w:val="Normal11"/>
              <w:rPr>
                <w:rFonts w:cs="Times New Roman"/>
              </w:rPr>
            </w:pPr>
          </w:p>
        </w:tc>
      </w:tr>
    </w:tbl>
    <w:p w:rsidR="00F0405E" w:rsidRDefault="00F0405E" w:rsidP="00F0405E">
      <w:pPr>
        <w:tabs>
          <w:tab w:val="clear" w:pos="567"/>
        </w:tabs>
        <w:spacing w:line="240" w:lineRule="auto"/>
        <w:rPr>
          <w:sz w:val="22"/>
        </w:rPr>
      </w:pPr>
    </w:p>
    <w:p w:rsidR="004A7694" w:rsidRDefault="004A7694" w:rsidP="00F0405E">
      <w:pPr>
        <w:tabs>
          <w:tab w:val="clear" w:pos="567"/>
        </w:tabs>
        <w:spacing w:line="240" w:lineRule="auto"/>
        <w:rPr>
          <w:sz w:val="22"/>
        </w:rPr>
      </w:pPr>
      <w:r>
        <w:rPr>
          <w:sz w:val="22"/>
        </w:rPr>
        <w:t>Vegetable oils do display many desirable characteristics, which make them very attractive lubricants for many practical applications.</w:t>
      </w:r>
    </w:p>
    <w:p w:rsidR="004A7694" w:rsidRPr="00345892" w:rsidRDefault="004A7694" w:rsidP="00F0405E">
      <w:pPr>
        <w:tabs>
          <w:tab w:val="clear" w:pos="567"/>
        </w:tabs>
        <w:spacing w:line="240" w:lineRule="auto"/>
        <w:rPr>
          <w:sz w:val="22"/>
        </w:rPr>
      </w:pPr>
    </w:p>
    <w:p w:rsidR="00F0405E" w:rsidRPr="001E6572" w:rsidRDefault="00F0405E" w:rsidP="001E6572">
      <w:pPr>
        <w:pStyle w:val="ListParagraph"/>
        <w:numPr>
          <w:ilvl w:val="0"/>
          <w:numId w:val="11"/>
        </w:numPr>
        <w:tabs>
          <w:tab w:val="clear" w:pos="567"/>
        </w:tabs>
        <w:spacing w:line="240" w:lineRule="auto"/>
        <w:ind w:left="284" w:hanging="284"/>
        <w:rPr>
          <w:b/>
          <w:szCs w:val="24"/>
        </w:rPr>
      </w:pPr>
      <w:r w:rsidRPr="001E6572">
        <w:rPr>
          <w:b/>
          <w:szCs w:val="24"/>
        </w:rPr>
        <w:t xml:space="preserve">Experimental </w:t>
      </w:r>
      <w:r w:rsidR="001E6572">
        <w:rPr>
          <w:b/>
          <w:szCs w:val="24"/>
        </w:rPr>
        <w:t>Section</w:t>
      </w:r>
    </w:p>
    <w:p w:rsidR="0079523E" w:rsidRDefault="0079523E" w:rsidP="0079523E">
      <w:pPr>
        <w:pStyle w:val="ListParagraph"/>
        <w:numPr>
          <w:ilvl w:val="1"/>
          <w:numId w:val="11"/>
        </w:numPr>
        <w:tabs>
          <w:tab w:val="clear" w:pos="567"/>
        </w:tabs>
        <w:spacing w:line="240" w:lineRule="auto"/>
        <w:ind w:left="426" w:hanging="426"/>
        <w:rPr>
          <w:i/>
          <w:sz w:val="22"/>
        </w:rPr>
      </w:pPr>
      <w:r>
        <w:rPr>
          <w:i/>
          <w:sz w:val="22"/>
        </w:rPr>
        <w:t>Materials and methods</w:t>
      </w:r>
    </w:p>
    <w:p w:rsidR="0079523E" w:rsidRPr="0079523E" w:rsidRDefault="0079523E" w:rsidP="0079523E">
      <w:pPr>
        <w:pStyle w:val="ListParagraph"/>
        <w:tabs>
          <w:tab w:val="clear" w:pos="567"/>
        </w:tabs>
        <w:spacing w:line="240" w:lineRule="auto"/>
        <w:ind w:left="426"/>
        <w:rPr>
          <w:i/>
          <w:sz w:val="22"/>
        </w:rPr>
      </w:pPr>
    </w:p>
    <w:p w:rsidR="0079523E" w:rsidRPr="009946D7" w:rsidRDefault="0079523E" w:rsidP="0079523E">
      <w:pPr>
        <w:pStyle w:val="KaryaIlmiahParagrap"/>
      </w:pPr>
      <w:r>
        <w:tab/>
        <w:t xml:space="preserve">This study has been conducted of wastewater analysis, membrane fabrication, membrane structure and performance analysis and also design of ultrafiltration system. </w:t>
      </w:r>
      <w:r w:rsidRPr="009946D7">
        <w:t>Polymer nanofiltration membrane with an effective area of 0.11 m</w:t>
      </w:r>
      <w:r w:rsidRPr="00A71AD6">
        <w:rPr>
          <w:vertAlign w:val="superscript"/>
        </w:rPr>
        <w:t>2</w:t>
      </w:r>
      <w:r w:rsidRPr="009946D7">
        <w:t xml:space="preserve"> will use in the process tank and a constant TMP (250 mmHg) that is maintained to extract the flocculated water from the outside to</w:t>
      </w:r>
      <w:r>
        <w:t xml:space="preserve"> the</w:t>
      </w:r>
      <w:r w:rsidRPr="009946D7">
        <w:t xml:space="preserve"> </w:t>
      </w:r>
      <w:r w:rsidRPr="001F5DFC">
        <w:rPr>
          <w:noProof/>
        </w:rPr>
        <w:t>inside</w:t>
      </w:r>
      <w:r w:rsidRPr="009946D7">
        <w:t xml:space="preserve"> of the membrane fibers. The flux decline will be expected to increase in the course of time due to membrane </w:t>
      </w:r>
      <w:r w:rsidRPr="001F5DFC">
        <w:rPr>
          <w:noProof/>
        </w:rPr>
        <w:t>fouling</w:t>
      </w:r>
      <w:r>
        <w:rPr>
          <w:noProof/>
        </w:rPr>
        <w:t>. T</w:t>
      </w:r>
      <w:r w:rsidRPr="001F5DFC">
        <w:rPr>
          <w:noProof/>
        </w:rPr>
        <w:t>hus</w:t>
      </w:r>
      <w:r w:rsidRPr="009946D7">
        <w:t xml:space="preserve"> operational permeate flux is monitored over the time to determine the degree of membrane fouling to membrane permeability. Parameters used to quantify the efficiency of membrane processes are flux (J), permeability and solute rejection (R), where the flux </w:t>
      </w:r>
      <w:r w:rsidRPr="006A721A">
        <w:rPr>
          <w:noProof/>
        </w:rPr>
        <w:t>is defined</w:t>
      </w:r>
      <w:r w:rsidRPr="009946D7">
        <w:t xml:space="preserve"> as:</w:t>
      </w:r>
    </w:p>
    <w:tbl>
      <w:tblPr>
        <w:tblStyle w:val="TableGrid"/>
        <w:tblW w:w="4631"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7"/>
        <w:gridCol w:w="1003"/>
      </w:tblGrid>
      <w:tr w:rsidR="0079523E" w:rsidRPr="009946D7" w:rsidTr="000944A0">
        <w:tc>
          <w:tcPr>
            <w:tcW w:w="4400" w:type="pct"/>
          </w:tcPr>
          <w:p w:rsidR="0079523E" w:rsidRPr="009946D7" w:rsidRDefault="0079523E" w:rsidP="000944A0">
            <w:pPr>
              <w:pStyle w:val="KaryaIlmiahPers"/>
            </w:pPr>
            <m:oMathPara>
              <m:oMathParaPr>
                <m:jc m:val="left"/>
              </m:oMathParaPr>
              <m:oMath>
                <m:r>
                  <w:rPr>
                    <w:rFonts w:ascii="Cambria Math" w:hAnsi="Cambria Math"/>
                  </w:rPr>
                  <m:t>J=</m:t>
                </m:r>
                <m:f>
                  <m:fPr>
                    <m:ctrlPr>
                      <w:rPr>
                        <w:rFonts w:ascii="Cambria Math" w:hAnsi="Cambria Math"/>
                        <w:i/>
                      </w:rPr>
                    </m:ctrlPr>
                  </m:fPr>
                  <m:num>
                    <m:r>
                      <w:rPr>
                        <w:rFonts w:ascii="Cambria Math" w:hAnsi="Cambria Math"/>
                      </w:rPr>
                      <m:t>Q</m:t>
                    </m:r>
                  </m:num>
                  <m:den>
                    <m:r>
                      <w:rPr>
                        <w:rFonts w:ascii="Cambria Math" w:hAnsi="Cambria Math"/>
                      </w:rPr>
                      <m:t>A</m:t>
                    </m:r>
                  </m:den>
                </m:f>
              </m:oMath>
            </m:oMathPara>
          </w:p>
        </w:tc>
        <w:tc>
          <w:tcPr>
            <w:tcW w:w="600" w:type="pct"/>
            <w:vAlign w:val="center"/>
          </w:tcPr>
          <w:p w:rsidR="0079523E" w:rsidRPr="009946D7" w:rsidRDefault="0079523E" w:rsidP="0079523E">
            <w:pPr>
              <w:pStyle w:val="KaryaIlmiahPers"/>
            </w:pPr>
            <w:r w:rsidRPr="009946D7">
              <w:t>(</w:t>
            </w:r>
            <w:r>
              <w:t>2</w:t>
            </w:r>
            <w:r w:rsidRPr="009946D7">
              <w:t>.</w:t>
            </w:r>
            <w:r w:rsidRPr="009946D7">
              <w:fldChar w:fldCharType="begin"/>
            </w:r>
            <w:r w:rsidRPr="009946D7">
              <w:instrText xml:space="preserve"> SEQ Equation \* ARABIC \s 1 </w:instrText>
            </w:r>
            <w:r w:rsidRPr="009946D7">
              <w:fldChar w:fldCharType="separate"/>
            </w:r>
            <w:r>
              <w:rPr>
                <w:noProof/>
              </w:rPr>
              <w:t>1</w:t>
            </w:r>
            <w:r w:rsidRPr="009946D7">
              <w:fldChar w:fldCharType="end"/>
            </w:r>
            <w:r w:rsidRPr="009946D7">
              <w:t>)</w:t>
            </w:r>
          </w:p>
        </w:tc>
      </w:tr>
    </w:tbl>
    <w:p w:rsidR="0079523E" w:rsidRPr="009946D7" w:rsidRDefault="0079523E" w:rsidP="0079523E">
      <w:pPr>
        <w:pStyle w:val="KaryaIlmiahParagrapLeft"/>
      </w:pPr>
      <w:r w:rsidRPr="009946D7">
        <w:t xml:space="preserve">where </w:t>
      </w:r>
      <w:r w:rsidRPr="009946D7">
        <w:rPr>
          <w:i/>
        </w:rPr>
        <w:t>Q</w:t>
      </w:r>
      <w:r w:rsidRPr="009946D7">
        <w:t xml:space="preserve"> is the permeate </w:t>
      </w:r>
      <w:r w:rsidRPr="001F5DFC">
        <w:rPr>
          <w:noProof/>
        </w:rPr>
        <w:t>flow</w:t>
      </w:r>
      <w:r>
        <w:rPr>
          <w:noProof/>
        </w:rPr>
        <w:t xml:space="preserve"> </w:t>
      </w:r>
      <w:r w:rsidRPr="001F5DFC">
        <w:rPr>
          <w:noProof/>
        </w:rPr>
        <w:t>rate</w:t>
      </w:r>
      <w:r w:rsidRPr="009946D7">
        <w:t xml:space="preserve"> (</w:t>
      </w:r>
      <w:r w:rsidRPr="009946D7">
        <w:rPr>
          <w:i/>
        </w:rPr>
        <w:t>L</w:t>
      </w:r>
      <w:r w:rsidRPr="009946D7">
        <w:t xml:space="preserve"> . hr</w:t>
      </w:r>
      <w:r w:rsidRPr="009946D7">
        <w:rPr>
          <w:vertAlign w:val="superscript"/>
        </w:rPr>
        <w:t>-1</w:t>
      </w:r>
      <w:r w:rsidRPr="009946D7">
        <w:t xml:space="preserve">) and </w:t>
      </w:r>
      <w:r w:rsidRPr="009946D7">
        <w:rPr>
          <w:i/>
        </w:rPr>
        <w:t>A</w:t>
      </w:r>
      <w:r w:rsidRPr="009946D7">
        <w:t xml:space="preserve"> is the effective membrane area (m</w:t>
      </w:r>
      <w:r w:rsidRPr="009946D7">
        <w:rPr>
          <w:vertAlign w:val="superscript"/>
        </w:rPr>
        <w:t>2</w:t>
      </w:r>
      <w:r w:rsidRPr="009946D7">
        <w:t>), and permeability as:</w:t>
      </w:r>
    </w:p>
    <w:tbl>
      <w:tblPr>
        <w:tblStyle w:val="TableGrid"/>
        <w:tblW w:w="4631"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7"/>
        <w:gridCol w:w="1003"/>
      </w:tblGrid>
      <w:tr w:rsidR="0079523E" w:rsidRPr="009946D7" w:rsidTr="000944A0">
        <w:tc>
          <w:tcPr>
            <w:tcW w:w="4400" w:type="pct"/>
          </w:tcPr>
          <w:p w:rsidR="0079523E" w:rsidRPr="009946D7" w:rsidRDefault="0079523E" w:rsidP="000944A0">
            <w:pPr>
              <w:pStyle w:val="KaryaIlmiahPers"/>
            </w:pPr>
            <m:oMathPara>
              <m:oMathParaPr>
                <m:jc m:val="left"/>
              </m:oMathParaPr>
              <m:oMath>
                <m:r>
                  <m:rPr>
                    <m:sty m:val="p"/>
                  </m:rPr>
                  <w:rPr>
                    <w:rFonts w:ascii="Cambria Math" w:hAnsi="Cambria Math"/>
                  </w:rPr>
                  <m:t>Permeability</m:t>
                </m:r>
                <m:r>
                  <w:rPr>
                    <w:rFonts w:ascii="Cambria Math" w:hAnsi="Cambria Math"/>
                  </w:rPr>
                  <m:t>=</m:t>
                </m:r>
                <m:f>
                  <m:fPr>
                    <m:ctrlPr>
                      <w:rPr>
                        <w:rFonts w:ascii="Cambria Math" w:hAnsi="Cambria Math"/>
                        <w:i/>
                      </w:rPr>
                    </m:ctrlPr>
                  </m:fPr>
                  <m:num>
                    <m:r>
                      <w:rPr>
                        <w:rFonts w:ascii="Cambria Math" w:hAnsi="Cambria Math"/>
                      </w:rPr>
                      <m:t>Q</m:t>
                    </m:r>
                  </m:num>
                  <m:den>
                    <m:r>
                      <w:rPr>
                        <w:rFonts w:ascii="Cambria Math" w:hAnsi="Cambria Math"/>
                      </w:rPr>
                      <m:t>A∆P</m:t>
                    </m:r>
                  </m:den>
                </m:f>
                <m:r>
                  <w:rPr>
                    <w:rFonts w:ascii="Cambria Math" w:hAnsi="Cambria Math"/>
                  </w:rPr>
                  <m:t>=</m:t>
                </m:r>
                <m:f>
                  <m:fPr>
                    <m:ctrlPr>
                      <w:rPr>
                        <w:rFonts w:ascii="Cambria Math" w:hAnsi="Cambria Math"/>
                        <w:i/>
                      </w:rPr>
                    </m:ctrlPr>
                  </m:fPr>
                  <m:num>
                    <m:r>
                      <w:rPr>
                        <w:rFonts w:ascii="Cambria Math" w:hAnsi="Cambria Math"/>
                      </w:rPr>
                      <m:t>Q</m:t>
                    </m:r>
                  </m:num>
                  <m:den>
                    <m:r>
                      <w:rPr>
                        <w:rFonts w:ascii="Cambria Math" w:hAnsi="Cambria Math"/>
                      </w:rPr>
                      <m:t>N∆Pdlπ</m:t>
                    </m:r>
                  </m:den>
                </m:f>
              </m:oMath>
            </m:oMathPara>
          </w:p>
        </w:tc>
        <w:tc>
          <w:tcPr>
            <w:tcW w:w="600" w:type="pct"/>
            <w:vAlign w:val="center"/>
          </w:tcPr>
          <w:p w:rsidR="0079523E" w:rsidRPr="009946D7" w:rsidRDefault="0079523E" w:rsidP="0079523E">
            <w:pPr>
              <w:pStyle w:val="KaryaIlmiahPers"/>
            </w:pPr>
            <w:r w:rsidRPr="009946D7">
              <w:t>(</w:t>
            </w:r>
            <w:r>
              <w:t>2</w:t>
            </w:r>
            <w:r w:rsidRPr="009946D7">
              <w:t>.</w:t>
            </w:r>
            <w:r w:rsidRPr="009946D7">
              <w:fldChar w:fldCharType="begin"/>
            </w:r>
            <w:r w:rsidRPr="009946D7">
              <w:instrText xml:space="preserve"> SEQ Equation \* ARABIC \s 1 </w:instrText>
            </w:r>
            <w:r w:rsidRPr="009946D7">
              <w:fldChar w:fldCharType="separate"/>
            </w:r>
            <w:r>
              <w:rPr>
                <w:noProof/>
              </w:rPr>
              <w:t>2</w:t>
            </w:r>
            <w:r w:rsidRPr="009946D7">
              <w:fldChar w:fldCharType="end"/>
            </w:r>
            <w:r w:rsidRPr="009946D7">
              <w:t>)</w:t>
            </w:r>
          </w:p>
        </w:tc>
      </w:tr>
    </w:tbl>
    <w:p w:rsidR="0079523E" w:rsidRDefault="0079523E" w:rsidP="0079523E">
      <w:pPr>
        <w:pStyle w:val="KaryaIlmiahParagrapLeft"/>
      </w:pPr>
      <w:r w:rsidRPr="009946D7">
        <w:t xml:space="preserve">where ∆P is the transmembrane pressure (Pa), N is the fiber quantity, d is the </w:t>
      </w:r>
      <w:r>
        <w:rPr>
          <w:noProof/>
        </w:rPr>
        <w:t>outer membrane</w:t>
      </w:r>
      <w:r w:rsidRPr="009946D7">
        <w:t xml:space="preserve"> diameter </w:t>
      </w:r>
      <w:r w:rsidRPr="001F5DFC">
        <w:rPr>
          <w:noProof/>
        </w:rPr>
        <w:t>(OD)</w:t>
      </w:r>
      <w:r>
        <w:rPr>
          <w:noProof/>
        </w:rPr>
        <w:t>,</w:t>
      </w:r>
      <w:r w:rsidRPr="009946D7">
        <w:t xml:space="preserve"> and l is the </w:t>
      </w:r>
      <w:r>
        <w:rPr>
          <w:noProof/>
        </w:rPr>
        <w:t>effective membran</w:t>
      </w:r>
      <w:r w:rsidRPr="001F5DFC">
        <w:rPr>
          <w:noProof/>
        </w:rPr>
        <w:t>e</w:t>
      </w:r>
      <w:r w:rsidRPr="009946D7">
        <w:t xml:space="preserve"> length (m), the rejection (R %) as:</w:t>
      </w:r>
    </w:p>
    <w:tbl>
      <w:tblPr>
        <w:tblStyle w:val="TableGrid"/>
        <w:tblW w:w="4631"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7"/>
        <w:gridCol w:w="1003"/>
      </w:tblGrid>
      <w:tr w:rsidR="0079523E" w:rsidRPr="009946D7" w:rsidTr="000944A0">
        <w:tc>
          <w:tcPr>
            <w:tcW w:w="4400" w:type="pct"/>
          </w:tcPr>
          <w:p w:rsidR="0079523E" w:rsidRPr="009946D7" w:rsidRDefault="0079523E" w:rsidP="000944A0">
            <w:pPr>
              <w:pStyle w:val="KaryaIlmiahPers"/>
            </w:pPr>
            <m:oMathPara>
              <m:oMathParaPr>
                <m:jc m:val="left"/>
              </m:oMathParaPr>
              <m:oMath>
                <m:r>
                  <w:rPr>
                    <w:rFonts w:ascii="Cambria Math" w:hAnsi="Cambria Math"/>
                  </w:rPr>
                  <w:lastRenderedPageBreak/>
                  <m:t>R</m:t>
                </m:r>
                <m:r>
                  <m:rPr>
                    <m:sty m:val="p"/>
                  </m:rPr>
                  <w:rPr>
                    <w:rFonts w:ascii="Cambria Math" w:hAnsi="Cambria Math"/>
                  </w:rPr>
                  <m:t xml:space="preserve"> (%)</m:t>
                </m:r>
                <m:r>
                  <w:rPr>
                    <w:rFonts w:ascii="Cambria Math" w:hAnsi="Cambria Math"/>
                  </w:rPr>
                  <m:t>=</m:t>
                </m:r>
                <m:d>
                  <m:dPr>
                    <m:begChr m:val="["/>
                    <m:endChr m:val="]"/>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p</m:t>
                                </m:r>
                              </m:sub>
                            </m:sSub>
                          </m:num>
                          <m:den>
                            <m:sSub>
                              <m:sSubPr>
                                <m:ctrlPr>
                                  <w:rPr>
                                    <w:rFonts w:ascii="Cambria Math" w:hAnsi="Cambria Math"/>
                                    <w:i/>
                                  </w:rPr>
                                </m:ctrlPr>
                              </m:sSubPr>
                              <m:e>
                                <m:r>
                                  <w:rPr>
                                    <w:rFonts w:ascii="Cambria Math" w:hAnsi="Cambria Math"/>
                                  </w:rPr>
                                  <m:t>C</m:t>
                                </m:r>
                              </m:e>
                              <m:sub>
                                <m:r>
                                  <w:rPr>
                                    <w:rFonts w:ascii="Cambria Math" w:hAnsi="Cambria Math"/>
                                  </w:rPr>
                                  <m:t>f</m:t>
                                </m:r>
                              </m:sub>
                            </m:sSub>
                          </m:den>
                        </m:f>
                      </m:e>
                    </m:d>
                  </m:e>
                </m:d>
                <m:r>
                  <w:rPr>
                    <w:rFonts w:ascii="Cambria Math" w:hAnsi="Cambria Math"/>
                  </w:rPr>
                  <m:t>×100</m:t>
                </m:r>
              </m:oMath>
            </m:oMathPara>
          </w:p>
        </w:tc>
        <w:tc>
          <w:tcPr>
            <w:tcW w:w="600" w:type="pct"/>
            <w:vAlign w:val="center"/>
          </w:tcPr>
          <w:p w:rsidR="0079523E" w:rsidRPr="009946D7" w:rsidRDefault="0079523E" w:rsidP="0079523E">
            <w:pPr>
              <w:pStyle w:val="KaryaIlmiahPers"/>
            </w:pPr>
            <w:r w:rsidRPr="009946D7">
              <w:t>(</w:t>
            </w:r>
            <w:r>
              <w:t>2</w:t>
            </w:r>
            <w:r w:rsidRPr="009946D7">
              <w:t>.</w:t>
            </w:r>
            <w:r w:rsidRPr="009946D7">
              <w:fldChar w:fldCharType="begin"/>
            </w:r>
            <w:r w:rsidRPr="009946D7">
              <w:instrText xml:space="preserve"> SEQ Equation \* ARABIC \s 1 </w:instrText>
            </w:r>
            <w:r w:rsidRPr="009946D7">
              <w:fldChar w:fldCharType="separate"/>
            </w:r>
            <w:r>
              <w:rPr>
                <w:noProof/>
              </w:rPr>
              <w:t>3</w:t>
            </w:r>
            <w:r w:rsidRPr="009946D7">
              <w:fldChar w:fldCharType="end"/>
            </w:r>
            <w:r w:rsidRPr="009946D7">
              <w:t>)</w:t>
            </w:r>
          </w:p>
        </w:tc>
      </w:tr>
    </w:tbl>
    <w:p w:rsidR="0079523E" w:rsidRPr="009946D7" w:rsidRDefault="0079523E" w:rsidP="0079523E">
      <w:pPr>
        <w:pStyle w:val="KaryaIlmiahParagrapLeft"/>
      </w:pPr>
      <w:r w:rsidRPr="009946D7">
        <w:t xml:space="preserve">where </w:t>
      </w:r>
      <m:oMath>
        <m:sSub>
          <m:sSubPr>
            <m:ctrlPr>
              <w:rPr>
                <w:rFonts w:ascii="Cambria Math" w:hAnsi="Cambria Math"/>
                <w:i/>
              </w:rPr>
            </m:ctrlPr>
          </m:sSubPr>
          <m:e>
            <m:r>
              <w:rPr>
                <w:rFonts w:ascii="Cambria Math" w:hAnsi="Cambria Math"/>
              </w:rPr>
              <m:t>C</m:t>
            </m:r>
          </m:e>
          <m:sub>
            <m:r>
              <w:rPr>
                <w:rFonts w:ascii="Cambria Math" w:hAnsi="Cambria Math"/>
              </w:rPr>
              <m:t>p</m:t>
            </m:r>
          </m:sub>
        </m:sSub>
      </m:oMath>
      <w:r w:rsidRPr="009946D7">
        <w:t xml:space="preserve"> is the permeate concentration in mg/L and </w:t>
      </w:r>
      <m:oMath>
        <m:sSub>
          <m:sSubPr>
            <m:ctrlPr>
              <w:rPr>
                <w:rFonts w:ascii="Cambria Math" w:hAnsi="Cambria Math"/>
                <w:i/>
              </w:rPr>
            </m:ctrlPr>
          </m:sSubPr>
          <m:e>
            <m:r>
              <w:rPr>
                <w:rFonts w:ascii="Cambria Math" w:hAnsi="Cambria Math"/>
              </w:rPr>
              <m:t>C</m:t>
            </m:r>
          </m:e>
          <m:sub>
            <m:r>
              <w:rPr>
                <w:rFonts w:ascii="Cambria Math" w:hAnsi="Cambria Math"/>
              </w:rPr>
              <m:t>f</m:t>
            </m:r>
          </m:sub>
        </m:sSub>
      </m:oMath>
      <w:r w:rsidRPr="009946D7">
        <w:t>is the feed dissolved organic compound (DOC) concentration (mg/L) measured by DOC analyzers (Shidmadzu TOC-VE).</w:t>
      </w:r>
    </w:p>
    <w:p w:rsidR="0079523E" w:rsidRDefault="0079523E" w:rsidP="0079523E">
      <w:pPr>
        <w:tabs>
          <w:tab w:val="clear" w:pos="567"/>
        </w:tabs>
        <w:spacing w:line="240" w:lineRule="auto"/>
        <w:ind w:firstLine="426"/>
      </w:pPr>
      <w:r w:rsidRPr="009946D7">
        <w:t xml:space="preserve">The experimental set-up </w:t>
      </w:r>
      <w:r w:rsidRPr="006A721A">
        <w:rPr>
          <w:noProof/>
        </w:rPr>
        <w:t>is schematically illustrated</w:t>
      </w:r>
      <w:r w:rsidRPr="009946D7">
        <w:t xml:space="preserve"> in </w:t>
      </w:r>
      <w:r>
        <w:fldChar w:fldCharType="begin"/>
      </w:r>
      <w:r>
        <w:instrText xml:space="preserve"> REF _Ref482105997 \h </w:instrText>
      </w:r>
      <w:r>
        <w:fldChar w:fldCharType="separate"/>
      </w:r>
      <w:r>
        <w:t xml:space="preserve">Figure </w:t>
      </w:r>
      <w:r>
        <w:rPr>
          <w:noProof/>
        </w:rPr>
        <w:t>2</w:t>
      </w:r>
      <w:r>
        <w:fldChar w:fldCharType="end"/>
      </w:r>
      <w:r w:rsidRPr="009946D7">
        <w:t xml:space="preserve">. The system consists of rapid mix continuous feed supply that controlled by </w:t>
      </w:r>
      <w:r w:rsidRPr="006A721A">
        <w:rPr>
          <w:noProof/>
        </w:rPr>
        <w:t>a buoyant</w:t>
      </w:r>
      <w:r w:rsidRPr="009946D7">
        <w:t xml:space="preserve"> water level controller. A bubbling system controlled by adjustable air flow regulator continuously supplied air bubbles within the fibers network at the bottom of the membrane module to provide a continuous up-flow circulation of micro-flocs suspension for hindering any micro-particles settlement. In particular, a constant air scouring bubble of 200 L/(m2.min) was applied to exert shear stress to </w:t>
      </w:r>
      <w:r w:rsidRPr="001F5DFC">
        <w:rPr>
          <w:noProof/>
        </w:rPr>
        <w:t>suppress potential</w:t>
      </w:r>
      <w:r w:rsidRPr="009946D7">
        <w:t xml:space="preserve"> particles deposition on the membrane surface</w:t>
      </w:r>
      <w:r w:rsidR="00C4506B">
        <w:t>.</w:t>
      </w:r>
    </w:p>
    <w:p w:rsidR="00C4506B" w:rsidRDefault="00C4506B" w:rsidP="0079523E">
      <w:pPr>
        <w:tabs>
          <w:tab w:val="clear" w:pos="567"/>
        </w:tabs>
        <w:spacing w:line="240" w:lineRule="auto"/>
        <w:ind w:firstLine="426"/>
      </w:pPr>
    </w:p>
    <w:p w:rsidR="00C4506B" w:rsidRDefault="00C4506B" w:rsidP="00495E4A">
      <w:pPr>
        <w:tabs>
          <w:tab w:val="clear" w:pos="567"/>
        </w:tabs>
        <w:spacing w:line="240" w:lineRule="auto"/>
        <w:ind w:firstLine="426"/>
        <w:jc w:val="center"/>
        <w:rPr>
          <w:sz w:val="22"/>
        </w:rPr>
      </w:pPr>
      <w:r w:rsidRPr="007F6D05">
        <w:drawing>
          <wp:inline distT="0" distB="0" distL="0" distR="0" wp14:anchorId="69D95D3F" wp14:editId="52DB3452">
            <wp:extent cx="3704590" cy="218812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59643" cy="2220643"/>
                    </a:xfrm>
                    <a:prstGeom prst="rect">
                      <a:avLst/>
                    </a:prstGeom>
                    <a:noFill/>
                    <a:ln>
                      <a:noFill/>
                    </a:ln>
                  </pic:spPr>
                </pic:pic>
              </a:graphicData>
            </a:graphic>
          </wp:inline>
        </w:drawing>
      </w:r>
    </w:p>
    <w:p w:rsidR="00C4506B" w:rsidRDefault="00C4506B" w:rsidP="00C4506B">
      <w:pPr>
        <w:tabs>
          <w:tab w:val="clear" w:pos="567"/>
        </w:tabs>
        <w:spacing w:line="240" w:lineRule="auto"/>
        <w:ind w:firstLine="426"/>
        <w:jc w:val="center"/>
        <w:rPr>
          <w:sz w:val="22"/>
        </w:rPr>
      </w:pPr>
      <w:r>
        <w:rPr>
          <w:sz w:val="22"/>
        </w:rPr>
        <w:t>Figure 2 Schematic diagram of waste coolant ultrafiltration</w:t>
      </w:r>
    </w:p>
    <w:p w:rsidR="00C4506B" w:rsidRDefault="00C4506B" w:rsidP="0079523E">
      <w:pPr>
        <w:tabs>
          <w:tab w:val="clear" w:pos="567"/>
        </w:tabs>
        <w:spacing w:line="240" w:lineRule="auto"/>
        <w:ind w:firstLine="426"/>
        <w:rPr>
          <w:sz w:val="22"/>
        </w:rPr>
      </w:pPr>
    </w:p>
    <w:p w:rsidR="008A410A" w:rsidRPr="00CC4F5B" w:rsidRDefault="00C4506B" w:rsidP="00C010BB">
      <w:pPr>
        <w:tabs>
          <w:tab w:val="clear" w:pos="567"/>
        </w:tabs>
        <w:spacing w:line="240" w:lineRule="auto"/>
        <w:ind w:firstLine="426"/>
        <w:rPr>
          <w:sz w:val="22"/>
        </w:rPr>
      </w:pPr>
      <w:r w:rsidRPr="00CC4F5B">
        <w:rPr>
          <w:sz w:val="22"/>
        </w:rPr>
        <w:t xml:space="preserve">The experimental set-up </w:t>
      </w:r>
      <w:r w:rsidRPr="00CC4F5B">
        <w:rPr>
          <w:noProof/>
          <w:sz w:val="22"/>
        </w:rPr>
        <w:t>is schematically illustrated</w:t>
      </w:r>
      <w:r w:rsidRPr="00CC4F5B">
        <w:rPr>
          <w:sz w:val="22"/>
        </w:rPr>
        <w:t xml:space="preserve"> in Figure </w:t>
      </w:r>
      <w:r w:rsidR="00495E4A">
        <w:rPr>
          <w:sz w:val="22"/>
        </w:rPr>
        <w:t>2</w:t>
      </w:r>
      <w:bookmarkStart w:id="2" w:name="_GoBack"/>
      <w:bookmarkEnd w:id="2"/>
      <w:r w:rsidRPr="00CC4F5B">
        <w:rPr>
          <w:sz w:val="22"/>
        </w:rPr>
        <w:t xml:space="preserve">. The unit </w:t>
      </w:r>
      <w:r w:rsidRPr="00CC4F5B">
        <w:rPr>
          <w:noProof/>
          <w:sz w:val="22"/>
        </w:rPr>
        <w:t>was designed</w:t>
      </w:r>
      <w:r w:rsidRPr="00CC4F5B">
        <w:rPr>
          <w:sz w:val="22"/>
        </w:rPr>
        <w:t xml:space="preserve"> from </w:t>
      </w:r>
      <w:r w:rsidRPr="00CC4F5B">
        <w:rPr>
          <w:noProof/>
          <w:sz w:val="22"/>
        </w:rPr>
        <w:t>high-quality</w:t>
      </w:r>
      <w:r w:rsidRPr="00CC4F5B">
        <w:rPr>
          <w:sz w:val="22"/>
        </w:rPr>
        <w:t xml:space="preserve"> PVC materials, glass and stainless steel for all wetted parts to prevent corrosion contamination as well as to establish high equipment practicality and reliability</w:t>
      </w:r>
      <w:r w:rsidR="00CC4F5B">
        <w:rPr>
          <w:sz w:val="22"/>
        </w:rPr>
        <w:t>.</w:t>
      </w:r>
    </w:p>
    <w:p w:rsidR="004F2D4F" w:rsidRDefault="004F2D4F" w:rsidP="00C010BB">
      <w:pPr>
        <w:tabs>
          <w:tab w:val="clear" w:pos="567"/>
        </w:tabs>
        <w:spacing w:line="240" w:lineRule="auto"/>
        <w:ind w:firstLine="426"/>
        <w:rPr>
          <w:sz w:val="22"/>
        </w:rPr>
      </w:pPr>
    </w:p>
    <w:p w:rsidR="008A410A" w:rsidRDefault="00CC4F5B" w:rsidP="00A568E0">
      <w:pPr>
        <w:pStyle w:val="ListParagraph"/>
        <w:numPr>
          <w:ilvl w:val="1"/>
          <w:numId w:val="11"/>
        </w:numPr>
        <w:tabs>
          <w:tab w:val="clear" w:pos="567"/>
        </w:tabs>
        <w:spacing w:line="240" w:lineRule="auto"/>
        <w:ind w:left="426" w:hanging="426"/>
        <w:rPr>
          <w:i/>
          <w:szCs w:val="24"/>
        </w:rPr>
      </w:pPr>
      <w:r>
        <w:rPr>
          <w:i/>
          <w:szCs w:val="24"/>
        </w:rPr>
        <w:t>Membrane morphology</w:t>
      </w:r>
    </w:p>
    <w:p w:rsidR="004F2D4F" w:rsidRDefault="00CC4F5B" w:rsidP="00CC4F5B">
      <w:pPr>
        <w:pStyle w:val="ListParagraph"/>
        <w:tabs>
          <w:tab w:val="clear" w:pos="567"/>
        </w:tabs>
        <w:spacing w:line="240" w:lineRule="auto"/>
        <w:ind w:left="0" w:firstLine="426"/>
      </w:pPr>
      <w:r w:rsidRPr="007F6D05">
        <w:t xml:space="preserve">The morphology of the membrane </w:t>
      </w:r>
      <w:r w:rsidRPr="006A721A">
        <w:rPr>
          <w:noProof/>
        </w:rPr>
        <w:t>was observed</w:t>
      </w:r>
      <w:r w:rsidRPr="007F6D05">
        <w:t xml:space="preserve"> by </w:t>
      </w:r>
      <w:r w:rsidRPr="006A721A">
        <w:rPr>
          <w:noProof/>
        </w:rPr>
        <w:t>f</w:t>
      </w:r>
      <w:r>
        <w:rPr>
          <w:noProof/>
        </w:rPr>
        <w:t xml:space="preserve">ield emission scanning electron </w:t>
      </w:r>
      <w:r w:rsidRPr="006A721A">
        <w:rPr>
          <w:noProof/>
        </w:rPr>
        <w:t>microscope</w:t>
      </w:r>
      <w:r w:rsidRPr="007F6D05">
        <w:t xml:space="preserve"> (FESEM) (JEOL JSM-6700F). The FESEM micrographs </w:t>
      </w:r>
      <w:r w:rsidRPr="006A721A">
        <w:rPr>
          <w:noProof/>
        </w:rPr>
        <w:t>were taken</w:t>
      </w:r>
      <w:r w:rsidRPr="007F6D05">
        <w:t xml:space="preserve"> at certain magnifications. It produced photographs at the analytical working distance of 10 nm. Surface composition analysis was carried out on energy dispersive </w:t>
      </w:r>
      <w:r>
        <w:rPr>
          <w:noProof/>
        </w:rPr>
        <w:t>X</w:t>
      </w:r>
      <w:r w:rsidRPr="001F5DFC">
        <w:rPr>
          <w:noProof/>
        </w:rPr>
        <w:t>-ray</w:t>
      </w:r>
      <w:r w:rsidRPr="007F6D05">
        <w:t xml:space="preserve"> (EDX) (JEOL JSM-6380LA)</w:t>
      </w:r>
      <w:r>
        <w:t>.</w:t>
      </w:r>
    </w:p>
    <w:p w:rsidR="00CC4F5B" w:rsidRDefault="00CC4F5B" w:rsidP="00CC4F5B">
      <w:pPr>
        <w:pStyle w:val="KaryaIlmiahParagrap"/>
      </w:pPr>
      <w:r w:rsidRPr="007F6D05">
        <w:t>The static contact angle of</w:t>
      </w:r>
      <w:r>
        <w:t xml:space="preserve"> the</w:t>
      </w:r>
      <w:r w:rsidRPr="007F6D05">
        <w:t xml:space="preserve"> </w:t>
      </w:r>
      <w:r w:rsidRPr="001F5DFC">
        <w:rPr>
          <w:noProof/>
        </w:rPr>
        <w:t>membrane</w:t>
      </w:r>
      <w:r w:rsidRPr="007F6D05">
        <w:t xml:space="preserve"> </w:t>
      </w:r>
      <w:r w:rsidRPr="006A721A">
        <w:rPr>
          <w:noProof/>
        </w:rPr>
        <w:t>was measured</w:t>
      </w:r>
      <w:r w:rsidRPr="007F6D05">
        <w:t xml:space="preserve"> by the sessile drop method using a Drop Meter A-100 contact angle system (Maist Vision Inspection &amp; Measurement Co. Ltd.) to characterize the membrane wetting </w:t>
      </w:r>
      <w:r w:rsidRPr="001F5DFC">
        <w:rPr>
          <w:noProof/>
        </w:rPr>
        <w:t>behavior</w:t>
      </w:r>
      <w:r w:rsidRPr="007F6D05">
        <w:t xml:space="preserve">. A water droplet at </w:t>
      </w:r>
      <w:r w:rsidRPr="006A721A">
        <w:rPr>
          <w:noProof/>
        </w:rPr>
        <w:t>3</w:t>
      </w:r>
      <w:r w:rsidRPr="007F6D05">
        <w:t xml:space="preserve"> µL was deposited on the dry membrane using a micro-syringe. A microscope with a long working distance 6.5x objectives was used to capture micrographs.</w:t>
      </w:r>
    </w:p>
    <w:p w:rsidR="00CC4F5B" w:rsidRDefault="00CC4F5B" w:rsidP="00CC4F5B">
      <w:pPr>
        <w:pStyle w:val="KaryaIlmiahParagrap"/>
      </w:pPr>
      <w:r w:rsidRPr="007F6D05">
        <w:t xml:space="preserve">Asymmetric porous membranes </w:t>
      </w:r>
      <w:r w:rsidRPr="006A721A">
        <w:rPr>
          <w:noProof/>
        </w:rPr>
        <w:t>were characterized</w:t>
      </w:r>
      <w:r w:rsidRPr="007F6D05">
        <w:t xml:space="preserve"> by determination of porosity and average pore radius. The membrane porosity, ε,</w:t>
      </w:r>
      <w:r w:rsidRPr="007F6D05">
        <w:rPr>
          <w:i/>
        </w:rPr>
        <w:t xml:space="preserve"> </w:t>
      </w:r>
      <w:r w:rsidRPr="007F6D05">
        <w:t>was defined as the volume of the pores divided by the total volume of the porous membrane. The membrane porosity was calculated using the following equation,</w:t>
      </w:r>
    </w:p>
    <w:tbl>
      <w:tblPr>
        <w:tblStyle w:val="TableGrid"/>
        <w:tblW w:w="4631"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7"/>
        <w:gridCol w:w="1003"/>
      </w:tblGrid>
      <w:tr w:rsidR="00CC4F5B" w:rsidRPr="009946D7" w:rsidTr="000944A0">
        <w:tc>
          <w:tcPr>
            <w:tcW w:w="4400" w:type="pct"/>
          </w:tcPr>
          <w:p w:rsidR="00CC4F5B" w:rsidRPr="009946D7" w:rsidRDefault="00CC4F5B" w:rsidP="000944A0">
            <w:pPr>
              <w:pStyle w:val="KaryaIlmiahPers"/>
            </w:pPr>
            <m:oMathPara>
              <m:oMathParaPr>
                <m:jc m:val="left"/>
              </m:oMathParaPr>
              <m:oMath>
                <m:r>
                  <w:rPr>
                    <w:rFonts w:ascii="Cambria Math" w:hAnsi="Cambria Math"/>
                  </w:rPr>
                  <w:lastRenderedPageBreak/>
                  <m:t>ε=</m:t>
                </m:r>
                <m:f>
                  <m:fPr>
                    <m:ctrlPr>
                      <w:rPr>
                        <w:rFonts w:ascii="Cambria Math" w:hAnsi="Cambria Math"/>
                        <w:i/>
                      </w:rPr>
                    </m:ctrlPr>
                  </m:fPr>
                  <m:num>
                    <m:f>
                      <m:fPr>
                        <m:type m:val="skw"/>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e>
                        </m:d>
                      </m:num>
                      <m:den>
                        <m:sSub>
                          <m:sSubPr>
                            <m:ctrlPr>
                              <w:rPr>
                                <w:rFonts w:ascii="Cambria Math" w:hAnsi="Cambria Math"/>
                                <w:i/>
                              </w:rPr>
                            </m:ctrlPr>
                          </m:sSubPr>
                          <m:e>
                            <m:r>
                              <w:rPr>
                                <w:rFonts w:ascii="Cambria Math" w:hAnsi="Cambria Math"/>
                              </w:rPr>
                              <m:t>ρ</m:t>
                            </m:r>
                          </m:e>
                          <m:sub>
                            <m:r>
                              <w:rPr>
                                <w:rFonts w:ascii="Cambria Math" w:hAnsi="Cambria Math"/>
                              </w:rPr>
                              <m:t>w</m:t>
                            </m:r>
                          </m:sub>
                        </m:sSub>
                      </m:den>
                    </m:f>
                  </m:num>
                  <m:den>
                    <m:f>
                      <m:fPr>
                        <m:type m:val="skw"/>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e>
                        </m:d>
                      </m:num>
                      <m:den>
                        <m:sSub>
                          <m:sSubPr>
                            <m:ctrlPr>
                              <w:rPr>
                                <w:rFonts w:ascii="Cambria Math" w:hAnsi="Cambria Math"/>
                                <w:i/>
                              </w:rPr>
                            </m:ctrlPr>
                          </m:sSubPr>
                          <m:e>
                            <m:r>
                              <w:rPr>
                                <w:rFonts w:ascii="Cambria Math" w:hAnsi="Cambria Math"/>
                              </w:rPr>
                              <m:t>ρ</m:t>
                            </m:r>
                          </m:e>
                          <m:sub>
                            <m:r>
                              <w:rPr>
                                <w:rFonts w:ascii="Cambria Math" w:hAnsi="Cambria Math"/>
                              </w:rPr>
                              <m:t>w</m:t>
                            </m:r>
                          </m:sub>
                        </m:sSub>
                      </m:den>
                    </m:f>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2</m:t>
                            </m:r>
                          </m:sub>
                        </m:sSub>
                      </m:num>
                      <m:den>
                        <m:sSub>
                          <m:sSubPr>
                            <m:ctrlPr>
                              <w:rPr>
                                <w:rFonts w:ascii="Cambria Math" w:hAnsi="Cambria Math"/>
                                <w:i/>
                              </w:rPr>
                            </m:ctrlPr>
                          </m:sSubPr>
                          <m:e>
                            <m:r>
                              <w:rPr>
                                <w:rFonts w:ascii="Cambria Math" w:hAnsi="Cambria Math"/>
                              </w:rPr>
                              <m:t>ρ</m:t>
                            </m:r>
                          </m:e>
                          <m:sub>
                            <m:r>
                              <w:rPr>
                                <w:rFonts w:ascii="Cambria Math" w:hAnsi="Cambria Math"/>
                              </w:rPr>
                              <m:t>P</m:t>
                            </m:r>
                          </m:sub>
                        </m:sSub>
                      </m:den>
                    </m:f>
                  </m:den>
                </m:f>
                <m:r>
                  <w:rPr>
                    <w:rFonts w:ascii="Cambria Math" w:hAnsi="Cambria Math"/>
                  </w:rPr>
                  <m:t>×100</m:t>
                </m:r>
              </m:oMath>
            </m:oMathPara>
          </w:p>
        </w:tc>
        <w:tc>
          <w:tcPr>
            <w:tcW w:w="600" w:type="pct"/>
            <w:vAlign w:val="center"/>
          </w:tcPr>
          <w:p w:rsidR="00CC4F5B" w:rsidRPr="009946D7" w:rsidRDefault="00CC4F5B" w:rsidP="00CC4F5B">
            <w:pPr>
              <w:pStyle w:val="KaryaIlmiahPers"/>
            </w:pPr>
            <w:r w:rsidRPr="009946D7">
              <w:t>(</w:t>
            </w:r>
            <w:r>
              <w:t>2</w:t>
            </w:r>
            <w:r w:rsidRPr="009946D7">
              <w:t>.</w:t>
            </w:r>
            <w:r w:rsidRPr="009946D7">
              <w:fldChar w:fldCharType="begin"/>
            </w:r>
            <w:r w:rsidRPr="009946D7">
              <w:instrText xml:space="preserve"> SEQ Equation \* ARABIC \s 1 </w:instrText>
            </w:r>
            <w:r w:rsidRPr="009946D7">
              <w:fldChar w:fldCharType="separate"/>
            </w:r>
            <w:r>
              <w:rPr>
                <w:noProof/>
              </w:rPr>
              <w:t>4</w:t>
            </w:r>
            <w:r w:rsidRPr="009946D7">
              <w:fldChar w:fldCharType="end"/>
            </w:r>
            <w:r w:rsidRPr="009946D7">
              <w:t>)</w:t>
            </w:r>
          </w:p>
        </w:tc>
      </w:tr>
    </w:tbl>
    <w:p w:rsidR="00CC4F5B" w:rsidRDefault="00CC4F5B" w:rsidP="00CC4F5B">
      <w:pPr>
        <w:pStyle w:val="ListParagraph"/>
        <w:tabs>
          <w:tab w:val="clear" w:pos="567"/>
        </w:tabs>
        <w:spacing w:line="240" w:lineRule="auto"/>
        <w:ind w:left="0" w:firstLine="426"/>
      </w:pPr>
      <w:r w:rsidRPr="005634DC">
        <w:t xml:space="preserve">where </w:t>
      </w:r>
      <w:r w:rsidRPr="005634DC">
        <w:rPr>
          <w:i/>
        </w:rPr>
        <w:t>ε</w:t>
      </w:r>
      <w:r w:rsidRPr="005634DC">
        <w:t xml:space="preserve"> is the porosity of the membrane (%), </w:t>
      </w:r>
      <m:oMath>
        <m:sSub>
          <m:sSubPr>
            <m:ctrlPr>
              <w:rPr>
                <w:rFonts w:ascii="Cambria Math" w:hAnsi="Cambria Math"/>
                <w:i/>
              </w:rPr>
            </m:ctrlPr>
          </m:sSubPr>
          <m:e>
            <m:r>
              <w:rPr>
                <w:rFonts w:ascii="Cambria Math" w:hAnsi="Cambria Math"/>
              </w:rPr>
              <m:t>w</m:t>
            </m:r>
          </m:e>
          <m:sub>
            <m:r>
              <w:rPr>
                <w:rFonts w:ascii="Cambria Math" w:hAnsi="Cambria Math"/>
              </w:rPr>
              <m:t>1</m:t>
            </m:r>
          </m:sub>
        </m:sSub>
      </m:oMath>
      <w:r>
        <w:t xml:space="preserve"> </w:t>
      </w:r>
      <w:r w:rsidRPr="005634DC">
        <w:t xml:space="preserve">the weight of wet membrane (g), </w:t>
      </w:r>
      <m:oMath>
        <m:sSub>
          <m:sSubPr>
            <m:ctrlPr>
              <w:rPr>
                <w:rFonts w:ascii="Cambria Math" w:hAnsi="Cambria Math"/>
                <w:i/>
              </w:rPr>
            </m:ctrlPr>
          </m:sSubPr>
          <m:e>
            <m:r>
              <w:rPr>
                <w:rFonts w:ascii="Cambria Math" w:hAnsi="Cambria Math"/>
              </w:rPr>
              <m:t>w</m:t>
            </m:r>
          </m:e>
          <m:sub>
            <m:r>
              <w:rPr>
                <w:rFonts w:ascii="Cambria Math" w:hAnsi="Cambria Math"/>
              </w:rPr>
              <m:t xml:space="preserve">2 </m:t>
            </m:r>
          </m:sub>
        </m:sSub>
      </m:oMath>
      <w:r w:rsidRPr="005634DC">
        <w:t xml:space="preserve">the weight of dry membrane (g), </w:t>
      </w:r>
      <m:oMath>
        <m:sSub>
          <m:sSubPr>
            <m:ctrlPr>
              <w:rPr>
                <w:rFonts w:ascii="Cambria Math" w:hAnsi="Cambria Math"/>
                <w:i/>
              </w:rPr>
            </m:ctrlPr>
          </m:sSubPr>
          <m:e>
            <m:r>
              <w:rPr>
                <w:rFonts w:ascii="Cambria Math" w:hAnsi="Cambria Math"/>
              </w:rPr>
              <m:t>ρ</m:t>
            </m:r>
          </m:e>
          <m:sub>
            <m:r>
              <w:rPr>
                <w:rFonts w:ascii="Cambria Math" w:hAnsi="Cambria Math"/>
              </w:rPr>
              <m:t>P</m:t>
            </m:r>
          </m:sub>
        </m:sSub>
      </m:oMath>
      <w:r>
        <w:t xml:space="preserve"> </w:t>
      </w:r>
      <w:r w:rsidRPr="005634DC">
        <w:t xml:space="preserve">the density of the polymer (g/cm3) and </w:t>
      </w:r>
      <m:oMath>
        <m:sSub>
          <m:sSubPr>
            <m:ctrlPr>
              <w:rPr>
                <w:rFonts w:ascii="Cambria Math" w:hAnsi="Cambria Math"/>
                <w:i/>
              </w:rPr>
            </m:ctrlPr>
          </m:sSubPr>
          <m:e>
            <m:r>
              <w:rPr>
                <w:rFonts w:ascii="Cambria Math" w:hAnsi="Cambria Math"/>
              </w:rPr>
              <m:t>ρ</m:t>
            </m:r>
          </m:e>
          <m:sub>
            <m:r>
              <w:rPr>
                <w:rFonts w:ascii="Cambria Math" w:hAnsi="Cambria Math"/>
              </w:rPr>
              <m:t>w</m:t>
            </m:r>
          </m:sub>
        </m:sSub>
        <m:r>
          <w:rPr>
            <w:rFonts w:ascii="Cambria Math" w:hAnsi="Cambria Math"/>
          </w:rPr>
          <m:t xml:space="preserve"> </m:t>
        </m:r>
      </m:oMath>
      <w:r w:rsidRPr="005634DC">
        <w:t>is the density of water (g/cm3)</w:t>
      </w:r>
      <w:r>
        <w:t>.</w:t>
      </w:r>
    </w:p>
    <w:p w:rsidR="00CC4F5B" w:rsidRDefault="00CC4F5B" w:rsidP="00CC4F5B">
      <w:pPr>
        <w:pStyle w:val="KaryaIlmiahParagrap"/>
      </w:pPr>
      <w:r w:rsidRPr="007F6D05">
        <w:t xml:space="preserve">Average pore radius, </w:t>
      </w:r>
      <w:r w:rsidRPr="006A721A">
        <w:rPr>
          <w:noProof/>
        </w:rPr>
        <w:t>r</w:t>
      </w:r>
      <w:r w:rsidRPr="006A721A">
        <w:rPr>
          <w:noProof/>
          <w:vertAlign w:val="subscript"/>
        </w:rPr>
        <w:t>m</w:t>
      </w:r>
      <w:r w:rsidRPr="007F6D05">
        <w:t xml:space="preserve">, was investigated by filtration velocity method, which a measurement of the ultrafiltration flux of the wet membrane applied on pure water in limited time (20 h) under 0.1 MPa pressure. It represents the average pore size </w:t>
      </w:r>
      <w:r>
        <w:rPr>
          <w:noProof/>
        </w:rPr>
        <w:t>of</w:t>
      </w:r>
      <w:r w:rsidRPr="007F6D05">
        <w:t xml:space="preserve"> the membrane thickness (</w:t>
      </w:r>
      <w:r w:rsidRPr="007F6D05">
        <w:rPr>
          <w:i/>
        </w:rPr>
        <w:t>l</w:t>
      </w:r>
      <w:r w:rsidRPr="007F6D05">
        <w:t xml:space="preserve">), which </w:t>
      </w:r>
      <w:r w:rsidRPr="006A721A">
        <w:rPr>
          <w:noProof/>
        </w:rPr>
        <w:t>was measured</w:t>
      </w:r>
      <w:r w:rsidRPr="007F6D05">
        <w:t xml:space="preserve"> by the difference value between</w:t>
      </w:r>
      <w:r>
        <w:t xml:space="preserve"> the</w:t>
      </w:r>
      <w:r w:rsidRPr="007F6D05">
        <w:t xml:space="preserve"> </w:t>
      </w:r>
      <w:r w:rsidRPr="001F5DFC">
        <w:rPr>
          <w:noProof/>
        </w:rPr>
        <w:t>external</w:t>
      </w:r>
      <w:r w:rsidRPr="007F6D05">
        <w:t xml:space="preserve"> radius and</w:t>
      </w:r>
      <w:r>
        <w:t xml:space="preserve"> </w:t>
      </w:r>
      <w:r w:rsidRPr="001F5DFC">
        <w:rPr>
          <w:noProof/>
        </w:rPr>
        <w:t>an in</w:t>
      </w:r>
      <w:r>
        <w:rPr>
          <w:noProof/>
        </w:rPr>
        <w:t>ner</w:t>
      </w:r>
      <w:r w:rsidRPr="007F6D05">
        <w:t xml:space="preserve"> radius of the hollow </w:t>
      </w:r>
      <w:r w:rsidRPr="001F5DFC">
        <w:rPr>
          <w:noProof/>
        </w:rPr>
        <w:t>fib</w:t>
      </w:r>
      <w:r>
        <w:rPr>
          <w:noProof/>
        </w:rPr>
        <w:t>er</w:t>
      </w:r>
      <w:r w:rsidRPr="007F6D05">
        <w:t xml:space="preserve"> membrane. The test module containing 60 </w:t>
      </w:r>
      <w:r w:rsidRPr="001F5DFC">
        <w:rPr>
          <w:noProof/>
        </w:rPr>
        <w:t>fib</w:t>
      </w:r>
      <w:r>
        <w:rPr>
          <w:noProof/>
        </w:rPr>
        <w:t>er</w:t>
      </w:r>
      <w:r w:rsidRPr="001F5DFC">
        <w:rPr>
          <w:noProof/>
        </w:rPr>
        <w:t>s</w:t>
      </w:r>
      <w:r w:rsidRPr="007F6D05">
        <w:t xml:space="preserve"> with the length of 35 cm was used to determine water permeability. According to Guerout-Elford-Ferry equation, </w:t>
      </w:r>
      <w:r w:rsidRPr="007F6D05">
        <w:rPr>
          <w:i/>
        </w:rPr>
        <w:t>r</w:t>
      </w:r>
      <w:r w:rsidRPr="007F6D05">
        <w:rPr>
          <w:vertAlign w:val="subscript"/>
        </w:rPr>
        <w:t>m</w:t>
      </w:r>
      <w:r w:rsidRPr="007F6D05">
        <w:t xml:space="preserve"> could </w:t>
      </w:r>
      <w:r w:rsidRPr="006A721A">
        <w:rPr>
          <w:noProof/>
        </w:rPr>
        <w:t>be calculated</w:t>
      </w:r>
      <w:r w:rsidRPr="007F6D05">
        <w:t>:</w:t>
      </w:r>
    </w:p>
    <w:tbl>
      <w:tblPr>
        <w:tblStyle w:val="TableGrid"/>
        <w:tblW w:w="4631"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7"/>
        <w:gridCol w:w="1003"/>
      </w:tblGrid>
      <w:tr w:rsidR="00CC4F5B" w:rsidRPr="009946D7" w:rsidTr="000944A0">
        <w:tc>
          <w:tcPr>
            <w:tcW w:w="4400" w:type="pct"/>
          </w:tcPr>
          <w:p w:rsidR="00CC4F5B" w:rsidRPr="009946D7" w:rsidRDefault="00CC4F5B" w:rsidP="000944A0">
            <w:pPr>
              <w:pStyle w:val="KaryaIlmiahPers"/>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m</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d>
                          <m:dPr>
                            <m:ctrlPr>
                              <w:rPr>
                                <w:rFonts w:ascii="Cambria Math" w:hAnsi="Cambria Math"/>
                                <w:i/>
                              </w:rPr>
                            </m:ctrlPr>
                          </m:dPr>
                          <m:e>
                            <m:r>
                              <w:rPr>
                                <w:rFonts w:ascii="Cambria Math" w:hAnsi="Cambria Math"/>
                              </w:rPr>
                              <m:t>2.9-1.75ε</m:t>
                            </m:r>
                          </m:e>
                        </m:d>
                        <m:r>
                          <w:rPr>
                            <w:rFonts w:ascii="Cambria Math" w:hAnsi="Cambria Math"/>
                          </w:rPr>
                          <m:t>×8ηlQ</m:t>
                        </m:r>
                      </m:num>
                      <m:den>
                        <m:r>
                          <w:rPr>
                            <w:rFonts w:ascii="Cambria Math" w:hAnsi="Cambria Math"/>
                          </w:rPr>
                          <m:t>ε×A×</m:t>
                        </m:r>
                        <m:r>
                          <m:rPr>
                            <m:sty m:val="p"/>
                          </m:rPr>
                          <w:rPr>
                            <w:rFonts w:ascii="Cambria Math" w:hAnsi="Cambria Math"/>
                          </w:rPr>
                          <m:t>Δ</m:t>
                        </m:r>
                        <m:r>
                          <w:rPr>
                            <w:rFonts w:ascii="Cambria Math" w:hAnsi="Cambria Math"/>
                          </w:rPr>
                          <m:t>P</m:t>
                        </m:r>
                      </m:den>
                    </m:f>
                  </m:e>
                </m:rad>
              </m:oMath>
            </m:oMathPara>
          </w:p>
        </w:tc>
        <w:tc>
          <w:tcPr>
            <w:tcW w:w="600" w:type="pct"/>
            <w:vAlign w:val="center"/>
          </w:tcPr>
          <w:p w:rsidR="00CC4F5B" w:rsidRPr="009946D7" w:rsidRDefault="00CC4F5B" w:rsidP="000944A0">
            <w:pPr>
              <w:pStyle w:val="KaryaIlmiahPers"/>
            </w:pPr>
            <w:r w:rsidRPr="009946D7">
              <w:t>(</w:t>
            </w:r>
            <w:r w:rsidRPr="009946D7">
              <w:fldChar w:fldCharType="begin"/>
            </w:r>
            <w:r w:rsidRPr="009946D7">
              <w:instrText xml:space="preserve"> STYLEREF 1 \s </w:instrText>
            </w:r>
            <w:r w:rsidRPr="009946D7">
              <w:fldChar w:fldCharType="separate"/>
            </w:r>
            <w:r>
              <w:rPr>
                <w:noProof/>
              </w:rPr>
              <w:t>5</w:t>
            </w:r>
            <w:r w:rsidRPr="009946D7">
              <w:fldChar w:fldCharType="end"/>
            </w:r>
            <w:r w:rsidRPr="009946D7">
              <w:t>.</w:t>
            </w:r>
            <w:r w:rsidRPr="009946D7">
              <w:fldChar w:fldCharType="begin"/>
            </w:r>
            <w:r w:rsidRPr="009946D7">
              <w:instrText xml:space="preserve"> SEQ Equation \* ARABIC \s 1 </w:instrText>
            </w:r>
            <w:r w:rsidRPr="009946D7">
              <w:fldChar w:fldCharType="separate"/>
            </w:r>
            <w:r>
              <w:rPr>
                <w:noProof/>
              </w:rPr>
              <w:t>5</w:t>
            </w:r>
            <w:r w:rsidRPr="009946D7">
              <w:fldChar w:fldCharType="end"/>
            </w:r>
            <w:r w:rsidRPr="009946D7">
              <w:t>)</w:t>
            </w:r>
          </w:p>
        </w:tc>
      </w:tr>
    </w:tbl>
    <w:p w:rsidR="00CC4F5B" w:rsidRDefault="00CC4F5B" w:rsidP="00CC4F5B">
      <w:pPr>
        <w:pStyle w:val="ListParagraph"/>
        <w:tabs>
          <w:tab w:val="clear" w:pos="567"/>
        </w:tabs>
        <w:spacing w:line="240" w:lineRule="auto"/>
        <w:ind w:left="0" w:firstLine="426"/>
        <w:rPr>
          <w:szCs w:val="24"/>
        </w:rPr>
      </w:pPr>
      <w:r w:rsidRPr="006A721A">
        <w:rPr>
          <w:noProof/>
        </w:rPr>
        <w:t xml:space="preserve">where </w:t>
      </w:r>
      <w:r w:rsidRPr="006A721A">
        <w:rPr>
          <w:i/>
          <w:noProof/>
        </w:rPr>
        <w:t>η</w:t>
      </w:r>
      <w:r w:rsidRPr="006A721A">
        <w:rPr>
          <w:noProof/>
        </w:rPr>
        <w:t xml:space="preserve"> is water viscosity (8.9 x 10</w:t>
      </w:r>
      <w:r w:rsidRPr="006A721A">
        <w:rPr>
          <w:noProof/>
          <w:vertAlign w:val="superscript"/>
        </w:rPr>
        <w:noBreakHyphen/>
        <w:t>4</w:t>
      </w:r>
      <w:r w:rsidRPr="006A721A">
        <w:rPr>
          <w:noProof/>
        </w:rPr>
        <w:t xml:space="preserve"> Pa s), </w:t>
      </w:r>
      <w:r w:rsidRPr="006A721A">
        <w:rPr>
          <w:rFonts w:eastAsia="Times New Roman"/>
          <w:noProof/>
          <w:position w:val="-6"/>
        </w:rPr>
        <w:object w:dxaOrig="180" w:dyaOrig="285">
          <v:shape id="_x0000_i1026" type="#_x0000_t75" style="width:8.15pt;height:13.75pt" o:ole="">
            <v:imagedata r:id="rId8" o:title=""/>
          </v:shape>
          <o:OLEObject Type="Embed" ProgID="Equation.3" ShapeID="_x0000_i1026" DrawAspect="Content" ObjectID="_1571081844" r:id="rId9"/>
        </w:object>
      </w:r>
      <w:r w:rsidRPr="006A721A">
        <w:rPr>
          <w:noProof/>
        </w:rPr>
        <w:t>is the membrane thickness (m), ∆</w:t>
      </w:r>
      <w:r w:rsidRPr="006A721A">
        <w:rPr>
          <w:i/>
          <w:noProof/>
        </w:rPr>
        <w:t>P</w:t>
      </w:r>
      <w:r w:rsidRPr="006A721A">
        <w:rPr>
          <w:noProof/>
        </w:rPr>
        <w:t xml:space="preserve"> is the operation pressure (0.1MPa), </w:t>
      </w:r>
      <w:r w:rsidRPr="006A721A">
        <w:rPr>
          <w:i/>
          <w:noProof/>
        </w:rPr>
        <w:t xml:space="preserve">ε </w:t>
      </w:r>
      <w:r w:rsidRPr="006A721A">
        <w:rPr>
          <w:noProof/>
        </w:rPr>
        <w:t>is the porosity of the membrane (%</w:t>
      </w:r>
      <w:r w:rsidRPr="006A721A">
        <w:rPr>
          <w:i/>
          <w:noProof/>
        </w:rPr>
        <w:t xml:space="preserve">), Q </w:t>
      </w:r>
      <w:r w:rsidRPr="006A721A">
        <w:rPr>
          <w:noProof/>
        </w:rPr>
        <w:t>is volume of permeate water per unit time (m</w:t>
      </w:r>
      <w:r w:rsidRPr="006A721A">
        <w:rPr>
          <w:noProof/>
          <w:vertAlign w:val="superscript"/>
        </w:rPr>
        <w:t>3</w:t>
      </w:r>
      <w:r w:rsidRPr="006A721A">
        <w:rPr>
          <w:noProof/>
        </w:rPr>
        <w:t xml:space="preserve"> s</w:t>
      </w:r>
      <w:r w:rsidRPr="006A721A">
        <w:rPr>
          <w:noProof/>
          <w:vertAlign w:val="superscript"/>
        </w:rPr>
        <w:t>-1</w:t>
      </w:r>
      <w:r w:rsidRPr="006A721A">
        <w:rPr>
          <w:noProof/>
        </w:rPr>
        <w:t>)</w:t>
      </w:r>
      <w:r w:rsidRPr="006A721A">
        <w:rPr>
          <w:i/>
          <w:noProof/>
        </w:rPr>
        <w:t xml:space="preserve">, A </w:t>
      </w:r>
      <w:r w:rsidRPr="006A721A">
        <w:rPr>
          <w:noProof/>
        </w:rPr>
        <w:t>is</w:t>
      </w:r>
      <w:r w:rsidRPr="006A721A">
        <w:rPr>
          <w:i/>
          <w:noProof/>
        </w:rPr>
        <w:t xml:space="preserve"> </w:t>
      </w:r>
      <w:r w:rsidRPr="006A721A">
        <w:rPr>
          <w:noProof/>
        </w:rPr>
        <w:t>effective area of membrane (m</w:t>
      </w:r>
      <w:r w:rsidRPr="006A721A">
        <w:rPr>
          <w:noProof/>
          <w:vertAlign w:val="superscript"/>
        </w:rPr>
        <w:t>2</w:t>
      </w:r>
      <w:r w:rsidRPr="006A721A">
        <w:rPr>
          <w:noProof/>
        </w:rPr>
        <w:t>).</w:t>
      </w:r>
    </w:p>
    <w:p w:rsidR="00CC4F5B" w:rsidRPr="00CC4F5B" w:rsidRDefault="00CC4F5B" w:rsidP="00CC4F5B">
      <w:pPr>
        <w:pStyle w:val="ListParagraph"/>
        <w:tabs>
          <w:tab w:val="clear" w:pos="567"/>
        </w:tabs>
        <w:spacing w:line="240" w:lineRule="auto"/>
        <w:ind w:left="0" w:firstLine="426"/>
        <w:rPr>
          <w:szCs w:val="24"/>
        </w:rPr>
      </w:pPr>
    </w:p>
    <w:p w:rsidR="00A568E0" w:rsidRPr="00CC4F5B" w:rsidRDefault="00CC4F5B" w:rsidP="00CC4F5B">
      <w:pPr>
        <w:pStyle w:val="ListParagraph"/>
        <w:numPr>
          <w:ilvl w:val="1"/>
          <w:numId w:val="12"/>
        </w:numPr>
        <w:tabs>
          <w:tab w:val="clear" w:pos="567"/>
        </w:tabs>
        <w:spacing w:line="240" w:lineRule="auto"/>
        <w:rPr>
          <w:i/>
          <w:szCs w:val="24"/>
        </w:rPr>
      </w:pPr>
      <w:r>
        <w:rPr>
          <w:i/>
          <w:szCs w:val="24"/>
        </w:rPr>
        <w:t>Permeation flux and rejection</w:t>
      </w:r>
    </w:p>
    <w:p w:rsidR="00F0405E" w:rsidRDefault="00F0405E" w:rsidP="00F0405E">
      <w:pPr>
        <w:tabs>
          <w:tab w:val="clear" w:pos="567"/>
        </w:tabs>
        <w:spacing w:line="240" w:lineRule="auto"/>
        <w:rPr>
          <w:sz w:val="22"/>
        </w:rPr>
      </w:pPr>
    </w:p>
    <w:p w:rsidR="00CC4F5B" w:rsidRDefault="00CC4F5B" w:rsidP="00CC4F5B">
      <w:pPr>
        <w:tabs>
          <w:tab w:val="clear" w:pos="567"/>
        </w:tabs>
        <w:spacing w:line="240" w:lineRule="auto"/>
        <w:ind w:firstLine="284"/>
      </w:pPr>
      <w:r w:rsidRPr="007F6D05">
        <w:t xml:space="preserve">An in-house produced </w:t>
      </w:r>
      <w:r w:rsidRPr="001F5DFC">
        <w:rPr>
          <w:noProof/>
        </w:rPr>
        <w:t>fib</w:t>
      </w:r>
      <w:r>
        <w:rPr>
          <w:noProof/>
        </w:rPr>
        <w:t>er</w:t>
      </w:r>
      <w:r w:rsidRPr="007F6D05">
        <w:t xml:space="preserve"> module, with a filtration area of 11.42 cm</w:t>
      </w:r>
      <w:r w:rsidRPr="007F6D05">
        <w:rPr>
          <w:vertAlign w:val="superscript"/>
        </w:rPr>
        <w:t>2</w:t>
      </w:r>
      <w:r w:rsidRPr="007F6D05">
        <w:t>, was submerged in prepared suspension in membrane reservoir with</w:t>
      </w:r>
      <w:r>
        <w:t xml:space="preserve"> a</w:t>
      </w:r>
      <w:r w:rsidRPr="007F6D05">
        <w:t xml:space="preserve"> </w:t>
      </w:r>
      <w:r w:rsidRPr="001F5DFC">
        <w:rPr>
          <w:noProof/>
        </w:rPr>
        <w:t>volume</w:t>
      </w:r>
      <w:r w:rsidRPr="007F6D05">
        <w:t xml:space="preserve"> of 14 L. A cross-flow stream was produced by air bubbling generated by a diffuser situated underneath the submerged membrane module for mechanical cleaning of the membrane module. The air bubbling flow rates per unit projection membrane area was </w:t>
      </w:r>
      <w:r>
        <w:rPr>
          <w:noProof/>
        </w:rPr>
        <w:t>constantly set</w:t>
      </w:r>
      <w:r w:rsidRPr="007F6D05">
        <w:t xml:space="preserve"> at 1.8 L/min </w:t>
      </w:r>
      <w:r w:rsidRPr="001F5DFC">
        <w:rPr>
          <w:noProof/>
        </w:rPr>
        <w:t>to</w:t>
      </w:r>
      <w:r w:rsidRPr="007F6D05">
        <w:t xml:space="preserve"> maintain proper turbulence. </w:t>
      </w:r>
      <w:r w:rsidRPr="006A721A">
        <w:rPr>
          <w:noProof/>
        </w:rPr>
        <w:t>The filtration pressure was supplied by a vacuum pump</w:t>
      </w:r>
      <w:r w:rsidRPr="007F6D05">
        <w:t xml:space="preserve"> and controlled by a needle valve at 0.5 </w:t>
      </w:r>
      <w:r w:rsidRPr="001F5DFC">
        <w:rPr>
          <w:noProof/>
        </w:rPr>
        <w:t>bar</w:t>
      </w:r>
      <w:r>
        <w:rPr>
          <w:noProof/>
        </w:rPr>
        <w:t>s</w:t>
      </w:r>
      <w:r w:rsidRPr="007F6D05">
        <w:t>. Permeate flow rates were continually recorded using flow meter respectively</w:t>
      </w:r>
      <w:r>
        <w:t xml:space="preserve">. </w:t>
      </w:r>
    </w:p>
    <w:p w:rsidR="00CC4F5B" w:rsidRPr="00CC4F5B" w:rsidRDefault="00CC4F5B" w:rsidP="00CC4F5B">
      <w:pPr>
        <w:tabs>
          <w:tab w:val="clear" w:pos="567"/>
        </w:tabs>
        <w:spacing w:line="240" w:lineRule="auto"/>
        <w:ind w:firstLine="284"/>
        <w:rPr>
          <w:sz w:val="22"/>
        </w:rPr>
      </w:pPr>
      <w:r>
        <w:t>The rejection test was carried out with distilled water and syhthetic coolant wastewater with mixed liquor suspended solid (MLSS) concentration of 3-8- g/L. All experiments were conducted at 25</w:t>
      </w:r>
      <w:r>
        <w:rPr>
          <w:vertAlign w:val="superscript"/>
        </w:rPr>
        <w:t>0</w:t>
      </w:r>
      <w:r>
        <w:t>C.</w:t>
      </w:r>
    </w:p>
    <w:p w:rsidR="00CC4F5B" w:rsidRPr="00345892" w:rsidRDefault="00CC4F5B" w:rsidP="00F0405E">
      <w:pPr>
        <w:tabs>
          <w:tab w:val="clear" w:pos="567"/>
        </w:tabs>
        <w:spacing w:line="240" w:lineRule="auto"/>
        <w:rPr>
          <w:sz w:val="22"/>
        </w:rPr>
      </w:pPr>
    </w:p>
    <w:p w:rsidR="00F0405E" w:rsidRPr="001E6572" w:rsidRDefault="00F0405E" w:rsidP="00CC4F5B">
      <w:pPr>
        <w:pStyle w:val="ListParagraph"/>
        <w:numPr>
          <w:ilvl w:val="0"/>
          <w:numId w:val="12"/>
        </w:numPr>
        <w:tabs>
          <w:tab w:val="clear" w:pos="567"/>
        </w:tabs>
        <w:spacing w:line="240" w:lineRule="auto"/>
        <w:ind w:left="284" w:hanging="284"/>
        <w:rPr>
          <w:b/>
          <w:szCs w:val="24"/>
        </w:rPr>
      </w:pPr>
      <w:r w:rsidRPr="001E6572">
        <w:rPr>
          <w:b/>
          <w:szCs w:val="24"/>
        </w:rPr>
        <w:t xml:space="preserve">Results and Discussion </w:t>
      </w:r>
    </w:p>
    <w:p w:rsidR="00CC4F5B" w:rsidRPr="00CC4F5B" w:rsidRDefault="00CC4F5B" w:rsidP="00CC4F5B">
      <w:pPr>
        <w:tabs>
          <w:tab w:val="clear" w:pos="567"/>
        </w:tabs>
        <w:spacing w:line="240" w:lineRule="auto"/>
        <w:rPr>
          <w:i/>
          <w:sz w:val="22"/>
        </w:rPr>
      </w:pPr>
      <w:r w:rsidRPr="00CC4F5B">
        <w:rPr>
          <w:i/>
          <w:sz w:val="22"/>
        </w:rPr>
        <w:t>3.1 Membrane properties</w:t>
      </w:r>
    </w:p>
    <w:p w:rsidR="00CC4F5B" w:rsidRDefault="00CC4F5B" w:rsidP="00CC4F5B">
      <w:pPr>
        <w:tabs>
          <w:tab w:val="left" w:pos="340"/>
        </w:tabs>
        <w:spacing w:line="240" w:lineRule="auto"/>
        <w:rPr>
          <w:rFonts w:cs="Times New Roman"/>
          <w:sz w:val="22"/>
          <w:lang w:val="en-GB"/>
        </w:rPr>
      </w:pPr>
      <w:r w:rsidRPr="00CC4F5B">
        <w:rPr>
          <w:rFonts w:cs="Times New Roman"/>
          <w:sz w:val="22"/>
          <w:lang w:val="en-GB"/>
        </w:rPr>
        <w:t>Properties of membrane can be shown in Table 7.1. Based on analysis of structural and characterization of PVDF membrane.</w:t>
      </w:r>
      <w:r>
        <w:rPr>
          <w:rFonts w:cs="Times New Roman"/>
          <w:sz w:val="22"/>
          <w:lang w:val="en-GB"/>
        </w:rPr>
        <w:t xml:space="preserve"> </w:t>
      </w:r>
      <w:r w:rsidRPr="00CC4F5B">
        <w:rPr>
          <w:rFonts w:cs="Times New Roman"/>
          <w:sz w:val="22"/>
          <w:lang w:val="en-GB"/>
        </w:rPr>
        <w:t>The membranes were obtained based on size of outer and inner diameter, average poresize and membrane surface area. It showed that SiO</w:t>
      </w:r>
      <w:r w:rsidRPr="00CC4F5B">
        <w:rPr>
          <w:rFonts w:cs="Times New Roman"/>
          <w:sz w:val="22"/>
          <w:vertAlign w:val="subscript"/>
          <w:lang w:val="en-GB"/>
        </w:rPr>
        <w:t>2</w:t>
      </w:r>
      <w:r w:rsidRPr="00CC4F5B">
        <w:rPr>
          <w:rFonts w:cs="Times New Roman"/>
          <w:sz w:val="22"/>
          <w:lang w:val="en-GB"/>
        </w:rPr>
        <w:t xml:space="preserve"> had modified the nanoporous membrane poresize. Improvement of membrane morphology is observed with adding of SiO</w:t>
      </w:r>
      <w:r w:rsidRPr="00CC4F5B">
        <w:rPr>
          <w:rFonts w:cs="Times New Roman"/>
          <w:sz w:val="22"/>
          <w:vertAlign w:val="subscript"/>
          <w:lang w:val="en-GB"/>
        </w:rPr>
        <w:t>2</w:t>
      </w:r>
      <w:r w:rsidRPr="00CC4F5B">
        <w:rPr>
          <w:rFonts w:cs="Times New Roman"/>
          <w:sz w:val="22"/>
          <w:lang w:val="en-GB"/>
        </w:rPr>
        <w:t>. The result shows that the permeate flux of the membrane was better (flux value of 92.4%) as compared to the neat PVDF membrane (flux value of 84.3%).</w:t>
      </w:r>
      <w:r>
        <w:rPr>
          <w:rFonts w:cs="Times New Roman"/>
          <w:sz w:val="22"/>
          <w:lang w:val="en-GB"/>
        </w:rPr>
        <w:t xml:space="preserve"> </w:t>
      </w:r>
      <w:r w:rsidRPr="00CC4F5B">
        <w:rPr>
          <w:rFonts w:cs="Times New Roman"/>
          <w:sz w:val="22"/>
          <w:lang w:val="en-GB"/>
        </w:rPr>
        <w:t>The result shows that the permeate flux of the membrane was better (flux value of 92.4%) as compared to the neat PVDF membrane (flux value of 84.3%). This improvement was caused by the change of membrane morphology of PVDF membrane. It is observed for adding SiO</w:t>
      </w:r>
      <w:r w:rsidRPr="00CC4F5B">
        <w:rPr>
          <w:rFonts w:cs="Times New Roman"/>
          <w:sz w:val="22"/>
          <w:vertAlign w:val="subscript"/>
          <w:lang w:val="en-GB"/>
        </w:rPr>
        <w:t>2</w:t>
      </w:r>
      <w:r w:rsidRPr="00CC4F5B">
        <w:rPr>
          <w:rFonts w:cs="Times New Roman"/>
          <w:sz w:val="22"/>
          <w:lang w:val="en-GB"/>
        </w:rPr>
        <w:t xml:space="preserve"> particles, may affect the interaction between SiO</w:t>
      </w:r>
      <w:r w:rsidRPr="00CC4F5B">
        <w:rPr>
          <w:rFonts w:cs="Times New Roman"/>
          <w:sz w:val="22"/>
          <w:vertAlign w:val="subscript"/>
          <w:lang w:val="en-GB"/>
        </w:rPr>
        <w:t>2</w:t>
      </w:r>
      <w:r w:rsidRPr="00CC4F5B">
        <w:rPr>
          <w:rFonts w:cs="Times New Roman"/>
          <w:sz w:val="22"/>
          <w:lang w:val="en-GB"/>
        </w:rPr>
        <w:t xml:space="preserve"> particles and PVDF chains.</w:t>
      </w:r>
    </w:p>
    <w:p w:rsidR="00CC4F5B" w:rsidRDefault="00CC4F5B" w:rsidP="00CC4F5B">
      <w:pPr>
        <w:tabs>
          <w:tab w:val="left" w:pos="340"/>
        </w:tabs>
        <w:rPr>
          <w:rFonts w:cs="Times New Roman"/>
          <w:sz w:val="22"/>
          <w:lang w:val="en-GB"/>
        </w:rPr>
      </w:pPr>
    </w:p>
    <w:p w:rsidR="00CC4F5B" w:rsidRPr="00CC4F5B" w:rsidRDefault="00CC4F5B" w:rsidP="00CC4F5B">
      <w:pPr>
        <w:tabs>
          <w:tab w:val="left" w:pos="340"/>
        </w:tabs>
        <w:jc w:val="center"/>
        <w:rPr>
          <w:rFonts w:cs="Times New Roman"/>
          <w:sz w:val="22"/>
          <w:lang w:val="en-GB"/>
        </w:rPr>
      </w:pPr>
      <w:r w:rsidRPr="00CC4F5B">
        <w:rPr>
          <w:rFonts w:cs="Times New Roman"/>
          <w:sz w:val="22"/>
          <w:lang w:val="en-GB"/>
        </w:rPr>
        <w:lastRenderedPageBreak/>
        <w:t xml:space="preserve">Table </w:t>
      </w:r>
      <w:r>
        <w:rPr>
          <w:rFonts w:cs="Times New Roman"/>
          <w:sz w:val="22"/>
          <w:lang w:val="en-GB"/>
        </w:rPr>
        <w:t>3</w:t>
      </w:r>
      <w:r w:rsidRPr="00CC4F5B">
        <w:rPr>
          <w:rFonts w:cs="Times New Roman"/>
          <w:sz w:val="22"/>
          <w:lang w:val="en-GB"/>
        </w:rPr>
        <w:t>. Membrane properties</w:t>
      </w:r>
    </w:p>
    <w:tbl>
      <w:tblPr>
        <w:tblW w:w="0" w:type="auto"/>
        <w:jc w:val="center"/>
        <w:tblLayout w:type="fixed"/>
        <w:tblLook w:val="0000" w:firstRow="0" w:lastRow="0" w:firstColumn="0" w:lastColumn="0" w:noHBand="0" w:noVBand="0"/>
      </w:tblPr>
      <w:tblGrid>
        <w:gridCol w:w="3624"/>
        <w:gridCol w:w="2073"/>
      </w:tblGrid>
      <w:tr w:rsidR="00CC4F5B" w:rsidRPr="00CC4F5B" w:rsidTr="000944A0">
        <w:trPr>
          <w:trHeight w:val="408"/>
          <w:jc w:val="center"/>
        </w:trPr>
        <w:tc>
          <w:tcPr>
            <w:tcW w:w="3624" w:type="dxa"/>
            <w:tcBorders>
              <w:top w:val="single" w:sz="4" w:space="0" w:color="000000"/>
              <w:left w:val="single" w:sz="4" w:space="0" w:color="000000"/>
              <w:bottom w:val="single" w:sz="4" w:space="0" w:color="000000"/>
            </w:tcBorders>
            <w:vAlign w:val="center"/>
          </w:tcPr>
          <w:p w:rsidR="00CC4F5B" w:rsidRPr="00CC4F5B" w:rsidRDefault="00CC4F5B" w:rsidP="00CC4F5B">
            <w:pPr>
              <w:snapToGrid w:val="0"/>
              <w:jc w:val="center"/>
              <w:rPr>
                <w:rFonts w:ascii="Times" w:hAnsi="Times"/>
                <w:b/>
                <w:sz w:val="22"/>
                <w:lang w:val="en-GB"/>
              </w:rPr>
            </w:pPr>
            <w:r w:rsidRPr="00CC4F5B">
              <w:rPr>
                <w:rFonts w:ascii="Times" w:hAnsi="Times"/>
                <w:b/>
                <w:sz w:val="22"/>
                <w:lang w:val="en-GB"/>
              </w:rPr>
              <w:t>Parameter</w:t>
            </w:r>
          </w:p>
        </w:tc>
        <w:tc>
          <w:tcPr>
            <w:tcW w:w="2073" w:type="dxa"/>
            <w:tcBorders>
              <w:top w:val="single" w:sz="4" w:space="0" w:color="000000"/>
              <w:left w:val="single" w:sz="4" w:space="0" w:color="000000"/>
              <w:bottom w:val="single" w:sz="4" w:space="0" w:color="000000"/>
              <w:right w:val="single" w:sz="4" w:space="0" w:color="000000"/>
            </w:tcBorders>
            <w:vAlign w:val="center"/>
          </w:tcPr>
          <w:p w:rsidR="00CC4F5B" w:rsidRPr="00CC4F5B" w:rsidRDefault="00CC4F5B" w:rsidP="00CC4F5B">
            <w:pPr>
              <w:snapToGrid w:val="0"/>
              <w:jc w:val="center"/>
              <w:rPr>
                <w:rFonts w:ascii="Times" w:hAnsi="Times"/>
                <w:b/>
                <w:sz w:val="22"/>
                <w:lang w:val="en-GB"/>
              </w:rPr>
            </w:pPr>
            <w:r w:rsidRPr="00CC4F5B">
              <w:rPr>
                <w:rFonts w:ascii="Times" w:hAnsi="Times"/>
                <w:b/>
                <w:sz w:val="22"/>
                <w:lang w:val="en-GB"/>
              </w:rPr>
              <w:t>Membrane</w:t>
            </w:r>
          </w:p>
        </w:tc>
      </w:tr>
      <w:tr w:rsidR="00CC4F5B" w:rsidRPr="00CC4F5B" w:rsidTr="000944A0">
        <w:trPr>
          <w:trHeight w:val="345"/>
          <w:jc w:val="center"/>
        </w:trPr>
        <w:tc>
          <w:tcPr>
            <w:tcW w:w="3624" w:type="dxa"/>
            <w:tcBorders>
              <w:top w:val="single" w:sz="4" w:space="0" w:color="000000"/>
              <w:left w:val="single" w:sz="4" w:space="0" w:color="000000"/>
              <w:bottom w:val="single" w:sz="4" w:space="0" w:color="000000"/>
            </w:tcBorders>
            <w:vAlign w:val="center"/>
          </w:tcPr>
          <w:p w:rsidR="00CC4F5B" w:rsidRPr="00CC4F5B" w:rsidRDefault="00CC4F5B" w:rsidP="00CC4F5B">
            <w:pPr>
              <w:snapToGrid w:val="0"/>
              <w:jc w:val="center"/>
              <w:rPr>
                <w:rFonts w:ascii="Times" w:hAnsi="Times"/>
                <w:sz w:val="22"/>
                <w:lang w:val="en-GB"/>
              </w:rPr>
            </w:pPr>
            <w:r w:rsidRPr="00CC4F5B">
              <w:rPr>
                <w:rFonts w:ascii="Times" w:hAnsi="Times"/>
                <w:sz w:val="22"/>
                <w:lang w:val="en-GB"/>
              </w:rPr>
              <w:t>Membrane configuration</w:t>
            </w:r>
          </w:p>
        </w:tc>
        <w:tc>
          <w:tcPr>
            <w:tcW w:w="2073" w:type="dxa"/>
            <w:tcBorders>
              <w:top w:val="single" w:sz="4" w:space="0" w:color="000000"/>
              <w:left w:val="single" w:sz="4" w:space="0" w:color="000000"/>
              <w:bottom w:val="single" w:sz="4" w:space="0" w:color="000000"/>
              <w:right w:val="single" w:sz="4" w:space="0" w:color="000000"/>
            </w:tcBorders>
            <w:vAlign w:val="center"/>
          </w:tcPr>
          <w:p w:rsidR="00CC4F5B" w:rsidRPr="00CC4F5B" w:rsidRDefault="00CC4F5B" w:rsidP="00CC4F5B">
            <w:pPr>
              <w:snapToGrid w:val="0"/>
              <w:jc w:val="center"/>
              <w:rPr>
                <w:rFonts w:ascii="Times" w:hAnsi="Times"/>
                <w:sz w:val="22"/>
                <w:lang w:val="en-GB"/>
              </w:rPr>
            </w:pPr>
            <w:r w:rsidRPr="00CC4F5B">
              <w:rPr>
                <w:rFonts w:ascii="Times" w:hAnsi="Times"/>
                <w:sz w:val="22"/>
                <w:lang w:val="en-GB"/>
              </w:rPr>
              <w:t>Hollow fiber</w:t>
            </w:r>
          </w:p>
        </w:tc>
      </w:tr>
      <w:tr w:rsidR="00CC4F5B" w:rsidRPr="00CC4F5B" w:rsidTr="000944A0">
        <w:trPr>
          <w:trHeight w:val="354"/>
          <w:jc w:val="center"/>
        </w:trPr>
        <w:tc>
          <w:tcPr>
            <w:tcW w:w="3624" w:type="dxa"/>
            <w:tcBorders>
              <w:top w:val="single" w:sz="4" w:space="0" w:color="000000"/>
              <w:left w:val="single" w:sz="4" w:space="0" w:color="000000"/>
              <w:bottom w:val="single" w:sz="4" w:space="0" w:color="000000"/>
            </w:tcBorders>
            <w:vAlign w:val="center"/>
          </w:tcPr>
          <w:p w:rsidR="00CC4F5B" w:rsidRPr="00CC4F5B" w:rsidRDefault="00CC4F5B" w:rsidP="00CC4F5B">
            <w:pPr>
              <w:snapToGrid w:val="0"/>
              <w:jc w:val="center"/>
              <w:rPr>
                <w:rFonts w:ascii="Times" w:hAnsi="Times"/>
                <w:sz w:val="22"/>
                <w:lang w:val="en-GB"/>
              </w:rPr>
            </w:pPr>
            <w:r w:rsidRPr="00CC4F5B">
              <w:rPr>
                <w:rFonts w:ascii="Times" w:hAnsi="Times"/>
                <w:sz w:val="22"/>
                <w:lang w:val="en-GB"/>
              </w:rPr>
              <w:t>Membrane material</w:t>
            </w:r>
          </w:p>
        </w:tc>
        <w:tc>
          <w:tcPr>
            <w:tcW w:w="2073" w:type="dxa"/>
            <w:tcBorders>
              <w:top w:val="single" w:sz="4" w:space="0" w:color="000000"/>
              <w:left w:val="single" w:sz="4" w:space="0" w:color="000000"/>
              <w:bottom w:val="single" w:sz="4" w:space="0" w:color="000000"/>
              <w:right w:val="single" w:sz="4" w:space="0" w:color="000000"/>
            </w:tcBorders>
            <w:vAlign w:val="center"/>
          </w:tcPr>
          <w:p w:rsidR="00CC4F5B" w:rsidRPr="00CC4F5B" w:rsidRDefault="00CC4F5B" w:rsidP="00CC4F5B">
            <w:pPr>
              <w:snapToGrid w:val="0"/>
              <w:jc w:val="center"/>
              <w:rPr>
                <w:rFonts w:ascii="Times" w:hAnsi="Times"/>
                <w:sz w:val="22"/>
                <w:lang w:val="en-GB"/>
              </w:rPr>
            </w:pPr>
            <w:r w:rsidRPr="00CC4F5B">
              <w:rPr>
                <w:rFonts w:ascii="Times" w:hAnsi="Times"/>
                <w:sz w:val="22"/>
                <w:lang w:val="en-GB"/>
              </w:rPr>
              <w:t>PVDF/SiO</w:t>
            </w:r>
            <w:r w:rsidRPr="00CC4F5B">
              <w:rPr>
                <w:rFonts w:ascii="Times" w:hAnsi="Times"/>
                <w:sz w:val="22"/>
                <w:vertAlign w:val="subscript"/>
                <w:lang w:val="en-GB"/>
              </w:rPr>
              <w:t>2</w:t>
            </w:r>
          </w:p>
        </w:tc>
      </w:tr>
      <w:tr w:rsidR="00CC4F5B" w:rsidRPr="00CC4F5B" w:rsidTr="000944A0">
        <w:trPr>
          <w:trHeight w:val="345"/>
          <w:jc w:val="center"/>
        </w:trPr>
        <w:tc>
          <w:tcPr>
            <w:tcW w:w="3624" w:type="dxa"/>
            <w:tcBorders>
              <w:top w:val="single" w:sz="4" w:space="0" w:color="000000"/>
              <w:left w:val="single" w:sz="4" w:space="0" w:color="000000"/>
              <w:bottom w:val="single" w:sz="4" w:space="0" w:color="000000"/>
            </w:tcBorders>
            <w:vAlign w:val="center"/>
          </w:tcPr>
          <w:p w:rsidR="00CC4F5B" w:rsidRPr="00CC4F5B" w:rsidRDefault="00CC4F5B" w:rsidP="00CC4F5B">
            <w:pPr>
              <w:snapToGrid w:val="0"/>
              <w:jc w:val="center"/>
              <w:rPr>
                <w:rFonts w:ascii="Times" w:hAnsi="Times"/>
                <w:sz w:val="22"/>
                <w:lang w:val="en-GB"/>
              </w:rPr>
            </w:pPr>
            <w:r w:rsidRPr="00CC4F5B">
              <w:rPr>
                <w:rFonts w:ascii="Times" w:hAnsi="Times"/>
                <w:sz w:val="22"/>
                <w:lang w:val="en-GB"/>
              </w:rPr>
              <w:t>Outer diameter (mm)</w:t>
            </w:r>
          </w:p>
        </w:tc>
        <w:tc>
          <w:tcPr>
            <w:tcW w:w="2073" w:type="dxa"/>
            <w:tcBorders>
              <w:top w:val="single" w:sz="4" w:space="0" w:color="000000"/>
              <w:left w:val="single" w:sz="4" w:space="0" w:color="000000"/>
              <w:bottom w:val="single" w:sz="4" w:space="0" w:color="000000"/>
              <w:right w:val="single" w:sz="4" w:space="0" w:color="000000"/>
            </w:tcBorders>
            <w:vAlign w:val="center"/>
          </w:tcPr>
          <w:p w:rsidR="00CC4F5B" w:rsidRPr="00CC4F5B" w:rsidRDefault="00CC4F5B" w:rsidP="00CC4F5B">
            <w:pPr>
              <w:snapToGrid w:val="0"/>
              <w:jc w:val="center"/>
              <w:rPr>
                <w:rFonts w:ascii="Times" w:hAnsi="Times"/>
                <w:sz w:val="22"/>
                <w:lang w:val="en-GB"/>
              </w:rPr>
            </w:pPr>
            <w:r w:rsidRPr="00CC4F5B">
              <w:rPr>
                <w:rFonts w:ascii="Times" w:hAnsi="Times"/>
                <w:sz w:val="22"/>
                <w:lang w:val="en-GB"/>
              </w:rPr>
              <w:t>1.2</w:t>
            </w:r>
          </w:p>
        </w:tc>
      </w:tr>
      <w:tr w:rsidR="00CC4F5B" w:rsidRPr="00CC4F5B" w:rsidTr="000944A0">
        <w:trPr>
          <w:trHeight w:val="354"/>
          <w:jc w:val="center"/>
        </w:trPr>
        <w:tc>
          <w:tcPr>
            <w:tcW w:w="3624" w:type="dxa"/>
            <w:tcBorders>
              <w:top w:val="single" w:sz="4" w:space="0" w:color="000000"/>
              <w:left w:val="single" w:sz="4" w:space="0" w:color="000000"/>
              <w:bottom w:val="single" w:sz="4" w:space="0" w:color="000000"/>
            </w:tcBorders>
            <w:vAlign w:val="center"/>
          </w:tcPr>
          <w:p w:rsidR="00CC4F5B" w:rsidRPr="00CC4F5B" w:rsidRDefault="00CC4F5B" w:rsidP="00CC4F5B">
            <w:pPr>
              <w:snapToGrid w:val="0"/>
              <w:jc w:val="center"/>
              <w:rPr>
                <w:rFonts w:ascii="Times" w:hAnsi="Times"/>
                <w:sz w:val="22"/>
                <w:lang w:val="en-GB"/>
              </w:rPr>
            </w:pPr>
            <w:r w:rsidRPr="00CC4F5B">
              <w:rPr>
                <w:rFonts w:ascii="Times" w:hAnsi="Times"/>
                <w:sz w:val="22"/>
                <w:lang w:val="en-GB"/>
              </w:rPr>
              <w:t>Inner diameter (mm)</w:t>
            </w:r>
          </w:p>
        </w:tc>
        <w:tc>
          <w:tcPr>
            <w:tcW w:w="2073" w:type="dxa"/>
            <w:tcBorders>
              <w:top w:val="single" w:sz="4" w:space="0" w:color="000000"/>
              <w:left w:val="single" w:sz="4" w:space="0" w:color="000000"/>
              <w:bottom w:val="single" w:sz="4" w:space="0" w:color="000000"/>
              <w:right w:val="single" w:sz="4" w:space="0" w:color="000000"/>
            </w:tcBorders>
            <w:vAlign w:val="center"/>
          </w:tcPr>
          <w:p w:rsidR="00CC4F5B" w:rsidRPr="00CC4F5B" w:rsidRDefault="00CC4F5B" w:rsidP="00CC4F5B">
            <w:pPr>
              <w:snapToGrid w:val="0"/>
              <w:jc w:val="center"/>
              <w:rPr>
                <w:rFonts w:ascii="Times" w:hAnsi="Times"/>
                <w:sz w:val="22"/>
                <w:lang w:val="en-GB"/>
              </w:rPr>
            </w:pPr>
            <w:r w:rsidRPr="00CC4F5B">
              <w:rPr>
                <w:rFonts w:ascii="Times" w:hAnsi="Times"/>
                <w:sz w:val="22"/>
                <w:lang w:val="en-GB"/>
              </w:rPr>
              <w:t>0.6</w:t>
            </w:r>
          </w:p>
        </w:tc>
      </w:tr>
      <w:tr w:rsidR="00CC4F5B" w:rsidRPr="00CC4F5B" w:rsidTr="000944A0">
        <w:trPr>
          <w:trHeight w:val="345"/>
          <w:jc w:val="center"/>
        </w:trPr>
        <w:tc>
          <w:tcPr>
            <w:tcW w:w="3624" w:type="dxa"/>
            <w:tcBorders>
              <w:top w:val="single" w:sz="4" w:space="0" w:color="000000"/>
              <w:left w:val="single" w:sz="4" w:space="0" w:color="000000"/>
              <w:bottom w:val="single" w:sz="4" w:space="0" w:color="000000"/>
            </w:tcBorders>
            <w:vAlign w:val="center"/>
          </w:tcPr>
          <w:p w:rsidR="00CC4F5B" w:rsidRPr="00CC4F5B" w:rsidRDefault="00CC4F5B" w:rsidP="00CC4F5B">
            <w:pPr>
              <w:snapToGrid w:val="0"/>
              <w:jc w:val="center"/>
              <w:rPr>
                <w:rFonts w:ascii="Times" w:hAnsi="Times"/>
                <w:sz w:val="22"/>
                <w:lang w:val="en-GB"/>
              </w:rPr>
            </w:pPr>
            <w:r w:rsidRPr="00CC4F5B">
              <w:rPr>
                <w:rFonts w:ascii="Times" w:hAnsi="Times"/>
                <w:sz w:val="22"/>
                <w:lang w:val="en-GB"/>
              </w:rPr>
              <w:t>Poresize (nm)</w:t>
            </w:r>
          </w:p>
        </w:tc>
        <w:tc>
          <w:tcPr>
            <w:tcW w:w="2073" w:type="dxa"/>
            <w:tcBorders>
              <w:top w:val="single" w:sz="4" w:space="0" w:color="000000"/>
              <w:left w:val="single" w:sz="4" w:space="0" w:color="000000"/>
              <w:bottom w:val="single" w:sz="4" w:space="0" w:color="000000"/>
              <w:right w:val="single" w:sz="4" w:space="0" w:color="000000"/>
            </w:tcBorders>
            <w:vAlign w:val="center"/>
          </w:tcPr>
          <w:p w:rsidR="00CC4F5B" w:rsidRPr="00CC4F5B" w:rsidRDefault="00CC4F5B" w:rsidP="00CC4F5B">
            <w:pPr>
              <w:snapToGrid w:val="0"/>
              <w:jc w:val="center"/>
              <w:rPr>
                <w:rFonts w:ascii="Times" w:hAnsi="Times"/>
                <w:sz w:val="22"/>
                <w:lang w:val="en-GB"/>
              </w:rPr>
            </w:pPr>
            <w:r w:rsidRPr="00CC4F5B">
              <w:rPr>
                <w:rFonts w:ascii="Times" w:hAnsi="Times"/>
                <w:sz w:val="22"/>
                <w:lang w:val="en-GB"/>
              </w:rPr>
              <w:t>35.2</w:t>
            </w:r>
          </w:p>
        </w:tc>
      </w:tr>
      <w:tr w:rsidR="00CC4F5B" w:rsidRPr="00CC4F5B" w:rsidTr="000944A0">
        <w:trPr>
          <w:trHeight w:val="354"/>
          <w:jc w:val="center"/>
        </w:trPr>
        <w:tc>
          <w:tcPr>
            <w:tcW w:w="3624" w:type="dxa"/>
            <w:tcBorders>
              <w:top w:val="single" w:sz="4" w:space="0" w:color="000000"/>
              <w:left w:val="single" w:sz="4" w:space="0" w:color="000000"/>
              <w:bottom w:val="single" w:sz="4" w:space="0" w:color="000000"/>
            </w:tcBorders>
            <w:vAlign w:val="center"/>
          </w:tcPr>
          <w:p w:rsidR="00CC4F5B" w:rsidRPr="00CC4F5B" w:rsidRDefault="00CC4F5B" w:rsidP="00CC4F5B">
            <w:pPr>
              <w:snapToGrid w:val="0"/>
              <w:jc w:val="center"/>
              <w:rPr>
                <w:rFonts w:ascii="Times" w:hAnsi="Times"/>
                <w:sz w:val="22"/>
                <w:lang w:val="en-GB"/>
              </w:rPr>
            </w:pPr>
            <w:r w:rsidRPr="00CC4F5B">
              <w:rPr>
                <w:rFonts w:ascii="Times" w:hAnsi="Times"/>
                <w:sz w:val="22"/>
                <w:lang w:val="en-GB"/>
              </w:rPr>
              <w:t>Membrane area (dm</w:t>
            </w:r>
            <w:r w:rsidRPr="00CC4F5B">
              <w:rPr>
                <w:rFonts w:ascii="Times" w:hAnsi="Times"/>
                <w:sz w:val="22"/>
                <w:vertAlign w:val="superscript"/>
                <w:lang w:val="en-GB"/>
              </w:rPr>
              <w:t>2</w:t>
            </w:r>
            <w:r w:rsidRPr="00CC4F5B">
              <w:rPr>
                <w:rFonts w:ascii="Times" w:hAnsi="Times"/>
                <w:sz w:val="22"/>
                <w:lang w:val="en-GB"/>
              </w:rPr>
              <w:t>)</w:t>
            </w:r>
          </w:p>
        </w:tc>
        <w:tc>
          <w:tcPr>
            <w:tcW w:w="2073" w:type="dxa"/>
            <w:tcBorders>
              <w:top w:val="single" w:sz="4" w:space="0" w:color="000000"/>
              <w:left w:val="single" w:sz="4" w:space="0" w:color="000000"/>
              <w:bottom w:val="single" w:sz="4" w:space="0" w:color="000000"/>
              <w:right w:val="single" w:sz="4" w:space="0" w:color="000000"/>
            </w:tcBorders>
            <w:vAlign w:val="center"/>
          </w:tcPr>
          <w:p w:rsidR="00CC4F5B" w:rsidRPr="00CC4F5B" w:rsidRDefault="00CC4F5B" w:rsidP="00CC4F5B">
            <w:pPr>
              <w:snapToGrid w:val="0"/>
              <w:jc w:val="center"/>
              <w:rPr>
                <w:rFonts w:ascii="Times" w:hAnsi="Times"/>
                <w:sz w:val="22"/>
                <w:lang w:val="en-GB"/>
              </w:rPr>
            </w:pPr>
            <w:r w:rsidRPr="00CC4F5B">
              <w:rPr>
                <w:rFonts w:ascii="Times" w:hAnsi="Times"/>
                <w:sz w:val="22"/>
                <w:lang w:val="en-GB"/>
              </w:rPr>
              <w:t>10.48</w:t>
            </w:r>
          </w:p>
        </w:tc>
      </w:tr>
    </w:tbl>
    <w:p w:rsidR="00CC4F5B" w:rsidRDefault="00CC4F5B" w:rsidP="00CC4F5B">
      <w:pPr>
        <w:tabs>
          <w:tab w:val="clear" w:pos="567"/>
        </w:tabs>
        <w:spacing w:line="240" w:lineRule="auto"/>
        <w:ind w:firstLine="426"/>
        <w:rPr>
          <w:sz w:val="22"/>
        </w:rPr>
      </w:pPr>
      <w:r w:rsidRPr="00CC4F5B">
        <w:rPr>
          <w:rFonts w:cs="Times New Roman"/>
          <w:sz w:val="22"/>
          <w:lang w:val="en-GB"/>
        </w:rPr>
        <w:t xml:space="preserve">Generally, the addition of nanofillers into PVDF matrix is due to the agglomeration phenomena. This phenomena is owing the the nature characteristic of the nanofillers (such as small size and high surface energy) and the poor </w:t>
      </w:r>
      <w:r>
        <w:rPr>
          <w:rFonts w:cs="Times New Roman"/>
          <w:sz w:val="22"/>
          <w:lang w:val="en-GB"/>
        </w:rPr>
        <w:t>compatibility with hydrophobic P</w:t>
      </w:r>
      <w:r w:rsidRPr="00CC4F5B">
        <w:rPr>
          <w:rFonts w:cs="Times New Roman"/>
          <w:sz w:val="22"/>
          <w:lang w:val="en-GB"/>
        </w:rPr>
        <w:t>VDF bulk. At present, the dispersion of nanofillers for the preparation of PVDF-inorganic composite membrane usually achieved by strong mechanical stirring. They have unique ability to bond polymers with dissimilar materials such as silica. The bond thus formed has good initial strength as demonstrated by failure of the composite by polymer rupture and the bond exhibits excellent retention of strength even after severe environmental aging</w:t>
      </w:r>
      <w:r>
        <w:rPr>
          <w:rFonts w:cs="Times New Roman"/>
          <w:szCs w:val="24"/>
          <w:lang w:val="en-GB"/>
        </w:rPr>
        <w:t>.</w:t>
      </w:r>
    </w:p>
    <w:p w:rsidR="00CC4F5B" w:rsidRDefault="00CC4F5B" w:rsidP="00C010BB">
      <w:pPr>
        <w:tabs>
          <w:tab w:val="clear" w:pos="567"/>
        </w:tabs>
        <w:spacing w:line="240" w:lineRule="auto"/>
        <w:ind w:firstLine="426"/>
        <w:rPr>
          <w:sz w:val="22"/>
        </w:rPr>
      </w:pPr>
    </w:p>
    <w:p w:rsidR="00CC4F5B" w:rsidRPr="00CC4F5B" w:rsidRDefault="00CC4F5B" w:rsidP="00CC4F5B">
      <w:pPr>
        <w:tabs>
          <w:tab w:val="clear" w:pos="567"/>
        </w:tabs>
        <w:spacing w:line="240" w:lineRule="auto"/>
        <w:rPr>
          <w:i/>
          <w:sz w:val="22"/>
        </w:rPr>
      </w:pPr>
      <w:r w:rsidRPr="00CC4F5B">
        <w:rPr>
          <w:i/>
          <w:sz w:val="22"/>
        </w:rPr>
        <w:t>3.2 FESEM analysis</w:t>
      </w:r>
    </w:p>
    <w:p w:rsidR="00CC4F5B" w:rsidRDefault="00CC4F5B" w:rsidP="00C010BB">
      <w:pPr>
        <w:tabs>
          <w:tab w:val="clear" w:pos="567"/>
        </w:tabs>
        <w:spacing w:line="240" w:lineRule="auto"/>
        <w:ind w:firstLine="426"/>
        <w:rPr>
          <w:sz w:val="22"/>
        </w:rPr>
      </w:pPr>
      <w:r w:rsidRPr="00CC4F5B">
        <w:rPr>
          <w:sz w:val="22"/>
        </w:rPr>
        <w:t>Fig</w:t>
      </w:r>
      <w:r>
        <w:rPr>
          <w:sz w:val="22"/>
        </w:rPr>
        <w:t>ure 4</w:t>
      </w:r>
      <w:r w:rsidRPr="00CC4F5B">
        <w:rPr>
          <w:sz w:val="22"/>
        </w:rPr>
        <w:t xml:space="preserve"> illustrated that SiO</w:t>
      </w:r>
      <w:r w:rsidRPr="00CC4F5B">
        <w:rPr>
          <w:sz w:val="22"/>
          <w:vertAlign w:val="subscript"/>
        </w:rPr>
        <w:t>2</w:t>
      </w:r>
      <w:r w:rsidRPr="00CC4F5B">
        <w:rPr>
          <w:sz w:val="22"/>
        </w:rPr>
        <w:t xml:space="preserve"> affects the mass transfer during the phase inversion process. The cross-sectional images for hollow fibers consist of finger-like macrovoids extending from both inner and outer wall of the hollow fiber, and an intermediate sponge-like layer. This phenomenon can be explained by the kinetic effect on the rate of solvent-nonsolvent exchange in the phase inversion process. At lower SiO</w:t>
      </w:r>
      <w:r w:rsidRPr="00CC4F5B">
        <w:rPr>
          <w:sz w:val="22"/>
          <w:vertAlign w:val="subscript"/>
        </w:rPr>
        <w:t>2</w:t>
      </w:r>
      <w:r w:rsidRPr="00CC4F5B">
        <w:rPr>
          <w:sz w:val="22"/>
        </w:rPr>
        <w:t xml:space="preserve"> concentration (1%), an increase in the amount of SiO</w:t>
      </w:r>
      <w:r w:rsidRPr="00CC4F5B">
        <w:rPr>
          <w:sz w:val="22"/>
          <w:vertAlign w:val="subscript"/>
        </w:rPr>
        <w:t>2</w:t>
      </w:r>
      <w:r w:rsidRPr="00CC4F5B">
        <w:rPr>
          <w:sz w:val="22"/>
        </w:rPr>
        <w:t xml:space="preserve"> tends to draw more water into the polymer dope, resulting in an increase in the length of finger-like macrovoids and decrease in the thickness of the intermediate sponge-like layer</w:t>
      </w:r>
      <w:r>
        <w:rPr>
          <w:sz w:val="22"/>
        </w:rPr>
        <w:t>.</w:t>
      </w:r>
    </w:p>
    <w:p w:rsidR="00CC4F5B" w:rsidRDefault="00CC4F5B" w:rsidP="00CC4F5B">
      <w:pPr>
        <w:tabs>
          <w:tab w:val="clear" w:pos="567"/>
        </w:tabs>
        <w:spacing w:line="240" w:lineRule="auto"/>
        <w:jc w:val="center"/>
        <w:rPr>
          <w:rFonts w:eastAsiaTheme="minorEastAsia"/>
          <w:sz w:val="22"/>
        </w:rPr>
      </w:pPr>
      <w:r>
        <w:rPr>
          <w:rFonts w:cs="Times New Roman"/>
          <w:noProof/>
          <w:sz w:val="20"/>
        </w:rPr>
        <w:drawing>
          <wp:inline distT="0" distB="0" distL="0" distR="0" wp14:anchorId="7BCD55B0" wp14:editId="0F5D329B">
            <wp:extent cx="1724024" cy="1096010"/>
            <wp:effectExtent l="19050" t="19050" r="10160" b="279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4" cy="1096010"/>
                    </a:xfrm>
                    <a:prstGeom prst="rect">
                      <a:avLst/>
                    </a:prstGeom>
                    <a:noFill/>
                    <a:ln w="6350">
                      <a:solidFill>
                        <a:srgbClr val="000000"/>
                      </a:solidFill>
                      <a:miter lim="800000"/>
                      <a:headEnd/>
                      <a:tailEnd/>
                    </a:ln>
                  </pic:spPr>
                </pic:pic>
              </a:graphicData>
            </a:graphic>
          </wp:inline>
        </w:drawing>
      </w:r>
    </w:p>
    <w:p w:rsidR="00CC4F5B" w:rsidRPr="00CC4F5B" w:rsidRDefault="00CC4F5B" w:rsidP="00CC4F5B">
      <w:pPr>
        <w:tabs>
          <w:tab w:val="clear" w:pos="567"/>
        </w:tabs>
        <w:spacing w:line="240" w:lineRule="auto"/>
        <w:jc w:val="center"/>
        <w:rPr>
          <w:rFonts w:eastAsiaTheme="minorEastAsia"/>
          <w:sz w:val="22"/>
        </w:rPr>
      </w:pPr>
      <w:r>
        <w:rPr>
          <w:rFonts w:eastAsiaTheme="minorEastAsia"/>
          <w:sz w:val="22"/>
        </w:rPr>
        <w:t>Figure 3 FESEM image of cross section of PVDF/SiO</w:t>
      </w:r>
      <w:r>
        <w:rPr>
          <w:rFonts w:eastAsiaTheme="minorEastAsia"/>
          <w:sz w:val="22"/>
          <w:vertAlign w:val="subscript"/>
        </w:rPr>
        <w:t>2</w:t>
      </w:r>
      <w:r>
        <w:rPr>
          <w:rFonts w:eastAsiaTheme="minorEastAsia"/>
          <w:sz w:val="22"/>
        </w:rPr>
        <w:t xml:space="preserve"> membrane</w:t>
      </w:r>
    </w:p>
    <w:p w:rsidR="00CC4F5B" w:rsidRPr="00C7681B" w:rsidRDefault="00CC4F5B" w:rsidP="00C7681B">
      <w:pPr>
        <w:tabs>
          <w:tab w:val="clear" w:pos="567"/>
        </w:tabs>
        <w:spacing w:line="240" w:lineRule="auto"/>
        <w:jc w:val="left"/>
        <w:rPr>
          <w:rFonts w:eastAsiaTheme="minorEastAsia"/>
          <w:sz w:val="22"/>
        </w:rPr>
      </w:pPr>
    </w:p>
    <w:p w:rsidR="00F0405E" w:rsidRPr="001E6572" w:rsidRDefault="00F0405E" w:rsidP="00CC4F5B">
      <w:pPr>
        <w:pStyle w:val="ListParagraph"/>
        <w:numPr>
          <w:ilvl w:val="0"/>
          <w:numId w:val="12"/>
        </w:numPr>
        <w:tabs>
          <w:tab w:val="clear" w:pos="567"/>
        </w:tabs>
        <w:spacing w:line="240" w:lineRule="auto"/>
        <w:ind w:left="284" w:hanging="284"/>
        <w:rPr>
          <w:b/>
          <w:sz w:val="22"/>
        </w:rPr>
      </w:pPr>
      <w:r w:rsidRPr="001E6572">
        <w:rPr>
          <w:b/>
        </w:rPr>
        <w:t>Conclusion</w:t>
      </w:r>
      <w:r w:rsidRPr="001E6572">
        <w:rPr>
          <w:b/>
          <w:sz w:val="22"/>
        </w:rPr>
        <w:t xml:space="preserve"> </w:t>
      </w:r>
    </w:p>
    <w:p w:rsidR="00F0405E" w:rsidRDefault="00CC4F5B" w:rsidP="00CC4F5B">
      <w:pPr>
        <w:tabs>
          <w:tab w:val="clear" w:pos="567"/>
        </w:tabs>
        <w:spacing w:line="240" w:lineRule="auto"/>
        <w:ind w:firstLine="567"/>
        <w:rPr>
          <w:rFonts w:cs="Times New Roman"/>
          <w:szCs w:val="24"/>
          <w:lang w:val="id-ID"/>
        </w:rPr>
      </w:pPr>
      <w:r w:rsidRPr="00CC4F5B">
        <w:rPr>
          <w:rFonts w:cs="Times New Roman"/>
          <w:sz w:val="22"/>
          <w:lang w:val="id-ID"/>
        </w:rPr>
        <w:t>Experimental results show</w:t>
      </w:r>
      <w:r w:rsidRPr="00CC4F5B">
        <w:rPr>
          <w:rFonts w:cs="Times New Roman"/>
          <w:sz w:val="22"/>
        </w:rPr>
        <w:t>ed</w:t>
      </w:r>
      <w:r w:rsidRPr="00CC4F5B">
        <w:rPr>
          <w:rFonts w:cs="Times New Roman"/>
          <w:sz w:val="22"/>
          <w:lang w:val="id-ID"/>
        </w:rPr>
        <w:t xml:space="preserve"> that a submerged ultrafiltration process</w:t>
      </w:r>
      <w:r w:rsidRPr="00CC4F5B">
        <w:rPr>
          <w:rFonts w:cs="Times New Roman"/>
          <w:sz w:val="22"/>
        </w:rPr>
        <w:t xml:space="preserve"> using modified PVDF membranes</w:t>
      </w:r>
      <w:r w:rsidRPr="00CC4F5B">
        <w:rPr>
          <w:rFonts w:cs="Times New Roman"/>
          <w:sz w:val="22"/>
          <w:lang w:val="id-ID"/>
        </w:rPr>
        <w:t xml:space="preserve"> has a great potential for refinery produced wastewater treatment.. The quartic equation developed in this study shows the presence of a high correlation between observed and predicated values. Interestingly, 3-dimension response surfaces plots can be a good driven approach for visualizing the parameter interaction. The optimum factor conditions were satisfied at ABFR of 2.25 ml/min, </w:t>
      </w:r>
      <w:smartTag w:uri="urn:schemas-microsoft-com:office:smarttags" w:element="stockticker">
        <w:r w:rsidRPr="00CC4F5B">
          <w:rPr>
            <w:rFonts w:cs="Times New Roman"/>
            <w:sz w:val="22"/>
            <w:lang w:val="id-ID"/>
          </w:rPr>
          <w:t>HRT</w:t>
        </w:r>
      </w:smartTag>
      <w:r w:rsidRPr="00CC4F5B">
        <w:rPr>
          <w:rFonts w:cs="Times New Roman"/>
          <w:sz w:val="22"/>
          <w:lang w:val="id-ID"/>
        </w:rPr>
        <w:t xml:space="preserve"> of 276.93 min, MLSS concentration of 4.50 g/L, and pH of 6.50 to resulted COD removal of 90.28 %.</w:t>
      </w:r>
      <w:r w:rsidRPr="00BD2544">
        <w:rPr>
          <w:rFonts w:cs="Times New Roman"/>
          <w:szCs w:val="24"/>
          <w:lang w:val="id-ID"/>
        </w:rPr>
        <w:t xml:space="preserve"> </w:t>
      </w:r>
    </w:p>
    <w:p w:rsidR="00CC4F5B" w:rsidRPr="00345892" w:rsidRDefault="00CC4F5B" w:rsidP="00CC4F5B">
      <w:pPr>
        <w:tabs>
          <w:tab w:val="clear" w:pos="567"/>
        </w:tabs>
        <w:spacing w:line="240" w:lineRule="auto"/>
        <w:ind w:firstLine="567"/>
        <w:rPr>
          <w:sz w:val="22"/>
        </w:rPr>
      </w:pPr>
    </w:p>
    <w:p w:rsidR="00F0405E" w:rsidRPr="001E6572" w:rsidRDefault="00F0405E" w:rsidP="00F0405E">
      <w:pPr>
        <w:tabs>
          <w:tab w:val="clear" w:pos="567"/>
        </w:tabs>
        <w:spacing w:line="240" w:lineRule="auto"/>
        <w:rPr>
          <w:b/>
          <w:szCs w:val="24"/>
        </w:rPr>
      </w:pPr>
      <w:r w:rsidRPr="001E6572">
        <w:rPr>
          <w:b/>
          <w:szCs w:val="24"/>
        </w:rPr>
        <w:t xml:space="preserve">Acknowledgement </w:t>
      </w:r>
    </w:p>
    <w:p w:rsidR="00F0405E" w:rsidRPr="00345892" w:rsidRDefault="00CC4F5B" w:rsidP="00C010BB">
      <w:pPr>
        <w:tabs>
          <w:tab w:val="clear" w:pos="567"/>
        </w:tabs>
        <w:spacing w:line="240" w:lineRule="auto"/>
        <w:ind w:firstLine="426"/>
        <w:rPr>
          <w:sz w:val="22"/>
        </w:rPr>
      </w:pPr>
      <w:r>
        <w:rPr>
          <w:sz w:val="22"/>
        </w:rPr>
        <w:t>T</w:t>
      </w:r>
      <w:r w:rsidR="00F0405E" w:rsidRPr="00345892">
        <w:rPr>
          <w:sz w:val="22"/>
        </w:rPr>
        <w:t xml:space="preserve">his </w:t>
      </w:r>
      <w:r w:rsidR="008E1957">
        <w:rPr>
          <w:sz w:val="22"/>
        </w:rPr>
        <w:t>resear</w:t>
      </w:r>
      <w:r>
        <w:rPr>
          <w:sz w:val="22"/>
        </w:rPr>
        <w:t>ch</w:t>
      </w:r>
      <w:r w:rsidR="00F0405E" w:rsidRPr="00345892">
        <w:rPr>
          <w:sz w:val="22"/>
        </w:rPr>
        <w:t xml:space="preserve"> is financial supported from </w:t>
      </w:r>
      <w:r>
        <w:rPr>
          <w:sz w:val="22"/>
        </w:rPr>
        <w:t>annualy research program of Universitas Sriwijaya</w:t>
      </w:r>
      <w:r w:rsidR="00C010BB">
        <w:rPr>
          <w:sz w:val="22"/>
        </w:rPr>
        <w:t>.</w:t>
      </w:r>
    </w:p>
    <w:p w:rsidR="00F0405E" w:rsidRPr="00345892" w:rsidRDefault="00F0405E" w:rsidP="00F0405E">
      <w:pPr>
        <w:tabs>
          <w:tab w:val="clear" w:pos="567"/>
        </w:tabs>
        <w:spacing w:line="240" w:lineRule="auto"/>
        <w:rPr>
          <w:sz w:val="22"/>
        </w:rPr>
      </w:pPr>
    </w:p>
    <w:p w:rsidR="00F0405E" w:rsidRDefault="00F0405E" w:rsidP="00F0405E">
      <w:pPr>
        <w:tabs>
          <w:tab w:val="clear" w:pos="567"/>
        </w:tabs>
        <w:spacing w:line="240" w:lineRule="auto"/>
        <w:rPr>
          <w:b/>
          <w:szCs w:val="24"/>
        </w:rPr>
      </w:pPr>
      <w:r w:rsidRPr="001E6572">
        <w:rPr>
          <w:b/>
          <w:szCs w:val="24"/>
        </w:rPr>
        <w:t xml:space="preserve">References </w:t>
      </w:r>
    </w:p>
    <w:p w:rsidR="00CC4F5B" w:rsidRPr="00CC4F5B" w:rsidRDefault="00CC4F5B" w:rsidP="00F0405E">
      <w:pPr>
        <w:tabs>
          <w:tab w:val="clear" w:pos="567"/>
        </w:tabs>
        <w:spacing w:line="240" w:lineRule="auto"/>
        <w:rPr>
          <w:b/>
          <w:sz w:val="22"/>
        </w:rPr>
      </w:pPr>
    </w:p>
    <w:p w:rsidR="00CC4F5B" w:rsidRPr="00CC4F5B" w:rsidRDefault="00CC4F5B" w:rsidP="00CC4F5B">
      <w:pPr>
        <w:pStyle w:val="KaryaIlmiahReferences"/>
        <w:rPr>
          <w:noProof/>
          <w:sz w:val="22"/>
          <w:szCs w:val="22"/>
        </w:rPr>
      </w:pPr>
      <w:r w:rsidRPr="00CC4F5B">
        <w:rPr>
          <w:noProof/>
          <w:sz w:val="22"/>
          <w:szCs w:val="22"/>
        </w:rPr>
        <w:t xml:space="preserve">Askari, M., Rezaei, B., Mousavi Shoushtari, A., and Abdouss, M., 2015. Performance Improvements in Structural Characteristics of Chitosan-Based Nanofibrous Composite Membrane for Using in Liquid Filtration. </w:t>
      </w:r>
      <w:r w:rsidRPr="00CC4F5B">
        <w:rPr>
          <w:i/>
          <w:iCs/>
          <w:noProof/>
          <w:sz w:val="22"/>
          <w:szCs w:val="22"/>
        </w:rPr>
        <w:t>Journal of the Taiwan Institute of Chemical Engineers</w:t>
      </w:r>
      <w:r w:rsidRPr="00CC4F5B">
        <w:rPr>
          <w:noProof/>
          <w:sz w:val="22"/>
          <w:szCs w:val="22"/>
        </w:rPr>
        <w:t>, 56, pp.77–83. Available at: http://dx.doi.org/10.1016/j.jtice.2015.05.007</w:t>
      </w:r>
    </w:p>
    <w:p w:rsidR="00CC4F5B" w:rsidRPr="00CC4F5B" w:rsidRDefault="00CC4F5B" w:rsidP="00CC4F5B">
      <w:pPr>
        <w:pStyle w:val="KaryaIlmiahReferences"/>
        <w:rPr>
          <w:noProof/>
          <w:sz w:val="22"/>
          <w:szCs w:val="22"/>
        </w:rPr>
      </w:pPr>
      <w:r w:rsidRPr="00CC4F5B">
        <w:rPr>
          <w:noProof/>
          <w:sz w:val="22"/>
          <w:szCs w:val="22"/>
        </w:rPr>
        <w:lastRenderedPageBreak/>
        <w:t xml:space="preserve">Baker, C., Pradhan, A., Pakstis, L., Pochan, D.J., and Shah, S.I., 2005. Synthesis and Antibacterial Properties of Silver Nanoparticles. </w:t>
      </w:r>
      <w:r w:rsidRPr="00CC4F5B">
        <w:rPr>
          <w:i/>
          <w:iCs/>
          <w:noProof/>
          <w:sz w:val="22"/>
          <w:szCs w:val="22"/>
        </w:rPr>
        <w:t>Journal of nanoscience and nanotechnology</w:t>
      </w:r>
      <w:r w:rsidRPr="00CC4F5B">
        <w:rPr>
          <w:noProof/>
          <w:sz w:val="22"/>
          <w:szCs w:val="22"/>
        </w:rPr>
        <w:t>, 5(2), pp.244–249.</w:t>
      </w:r>
    </w:p>
    <w:p w:rsidR="00CC4F5B" w:rsidRPr="00CC4F5B" w:rsidRDefault="00CC4F5B" w:rsidP="00CC4F5B">
      <w:pPr>
        <w:pStyle w:val="KaryaIlmiahReferences"/>
        <w:rPr>
          <w:noProof/>
          <w:sz w:val="22"/>
          <w:szCs w:val="22"/>
        </w:rPr>
      </w:pPr>
      <w:r w:rsidRPr="00CC4F5B">
        <w:rPr>
          <w:noProof/>
          <w:sz w:val="22"/>
          <w:szCs w:val="22"/>
        </w:rPr>
        <w:t xml:space="preserve">Belluco, W. and De Chiffre, L., 2001. Testing of Vegetable-Based Cutting Fluids in Hole Making Operations. </w:t>
      </w:r>
      <w:r w:rsidRPr="00CC4F5B">
        <w:rPr>
          <w:i/>
          <w:iCs/>
          <w:noProof/>
          <w:sz w:val="22"/>
          <w:szCs w:val="22"/>
        </w:rPr>
        <w:t>Lubrication Engineering</w:t>
      </w:r>
      <w:r w:rsidRPr="00CC4F5B">
        <w:rPr>
          <w:noProof/>
          <w:sz w:val="22"/>
          <w:szCs w:val="22"/>
        </w:rPr>
        <w:t>, 57(1), pp.12–16.</w:t>
      </w:r>
    </w:p>
    <w:p w:rsidR="00CC4F5B" w:rsidRPr="00CC4F5B" w:rsidRDefault="00CC4F5B" w:rsidP="00CC4F5B">
      <w:pPr>
        <w:pStyle w:val="KaryaIlmiahReferences"/>
        <w:rPr>
          <w:noProof/>
          <w:sz w:val="22"/>
          <w:szCs w:val="22"/>
        </w:rPr>
      </w:pPr>
      <w:r w:rsidRPr="00CC4F5B">
        <w:rPr>
          <w:noProof/>
          <w:sz w:val="22"/>
          <w:szCs w:val="22"/>
        </w:rPr>
        <w:t xml:space="preserve">Elshwain, A.E.I., Redzuan, N., and Noordin, M.Y., 2013. Machinability of Nickel and Titanium Alloys Under of Gas-Based Coolant-Lubricants (Cls) – a Review. </w:t>
      </w:r>
      <w:r w:rsidRPr="00CC4F5B">
        <w:rPr>
          <w:i/>
          <w:iCs/>
          <w:noProof/>
          <w:sz w:val="22"/>
          <w:szCs w:val="22"/>
        </w:rPr>
        <w:t>International Journal of Research in Engineering and Technology</w:t>
      </w:r>
      <w:r w:rsidRPr="00CC4F5B">
        <w:rPr>
          <w:noProof/>
          <w:sz w:val="22"/>
          <w:szCs w:val="22"/>
        </w:rPr>
        <w:t>, 2(11), pp.690–702. Available at: http://esatjournals.net/ijret/2013v02/i11/IJRET20130211106.pdf</w:t>
      </w:r>
    </w:p>
    <w:p w:rsidR="00CC4F5B" w:rsidRPr="00CC4F5B" w:rsidRDefault="00CC4F5B" w:rsidP="00CC4F5B">
      <w:pPr>
        <w:pStyle w:val="KaryaIlmiahReferences"/>
        <w:rPr>
          <w:noProof/>
          <w:sz w:val="22"/>
          <w:szCs w:val="22"/>
        </w:rPr>
      </w:pPr>
      <w:r w:rsidRPr="00CC4F5B">
        <w:rPr>
          <w:noProof/>
          <w:sz w:val="22"/>
          <w:szCs w:val="22"/>
        </w:rPr>
        <w:t xml:space="preserve">Judd, S., 2011. </w:t>
      </w:r>
      <w:r w:rsidRPr="00CC4F5B">
        <w:rPr>
          <w:i/>
          <w:iCs/>
          <w:noProof/>
          <w:sz w:val="22"/>
          <w:szCs w:val="22"/>
        </w:rPr>
        <w:t>The MBR Book, Principles and Applications of Membrane Bioreactors for Water and Wastewater Treatment</w:t>
      </w:r>
      <w:r w:rsidRPr="00CC4F5B">
        <w:rPr>
          <w:noProof/>
          <w:sz w:val="22"/>
          <w:szCs w:val="22"/>
        </w:rPr>
        <w:t xml:space="preserve"> 2nd ed., Butterworth-Heinemann.</w:t>
      </w:r>
    </w:p>
    <w:p w:rsidR="00CC4F5B" w:rsidRPr="00CC4F5B" w:rsidRDefault="00CC4F5B" w:rsidP="00CC4F5B">
      <w:pPr>
        <w:pStyle w:val="KaryaIlmiahReferences"/>
        <w:rPr>
          <w:noProof/>
          <w:sz w:val="22"/>
          <w:szCs w:val="22"/>
        </w:rPr>
      </w:pPr>
      <w:r w:rsidRPr="00CC4F5B">
        <w:rPr>
          <w:noProof/>
          <w:sz w:val="22"/>
          <w:szCs w:val="22"/>
        </w:rPr>
        <w:t xml:space="preserve">Kalyandurg, I.B., 2003. </w:t>
      </w:r>
      <w:r w:rsidRPr="00CC4F5B">
        <w:rPr>
          <w:i/>
          <w:iCs/>
          <w:noProof/>
          <w:sz w:val="22"/>
          <w:szCs w:val="22"/>
        </w:rPr>
        <w:t>Study of Reaction Kinetics of a Submerged Membrane Activated Sludge Process</w:t>
      </w:r>
      <w:r w:rsidRPr="00CC4F5B">
        <w:rPr>
          <w:noProof/>
          <w:sz w:val="22"/>
          <w:szCs w:val="22"/>
        </w:rPr>
        <w:t>. King Fahd University.</w:t>
      </w:r>
    </w:p>
    <w:p w:rsidR="00CC4F5B" w:rsidRPr="00CC4F5B" w:rsidRDefault="00CC4F5B" w:rsidP="00CC4F5B">
      <w:pPr>
        <w:pStyle w:val="KaryaIlmiahReferences"/>
        <w:rPr>
          <w:noProof/>
          <w:sz w:val="22"/>
          <w:szCs w:val="22"/>
        </w:rPr>
      </w:pPr>
      <w:r w:rsidRPr="00CC4F5B">
        <w:rPr>
          <w:noProof/>
          <w:sz w:val="22"/>
          <w:szCs w:val="22"/>
        </w:rPr>
        <w:t xml:space="preserve">Kappmeyer, G., Hubig, C., Hardy, M., Witty, M., and Busch, M., 2012. Modern Machining of Advanced Aerospace Alloys-Enabler for Quality and Performance. </w:t>
      </w:r>
      <w:r w:rsidRPr="00CC4F5B">
        <w:rPr>
          <w:i/>
          <w:iCs/>
          <w:noProof/>
          <w:sz w:val="22"/>
          <w:szCs w:val="22"/>
        </w:rPr>
        <w:t>Procedia CIRP</w:t>
      </w:r>
      <w:r w:rsidRPr="00CC4F5B">
        <w:rPr>
          <w:noProof/>
          <w:sz w:val="22"/>
          <w:szCs w:val="22"/>
        </w:rPr>
        <w:t>, 1(HPC), pp.28–43.</w:t>
      </w:r>
    </w:p>
    <w:p w:rsidR="00CC4F5B" w:rsidRPr="00CC4F5B" w:rsidRDefault="00CC4F5B" w:rsidP="00CC4F5B">
      <w:pPr>
        <w:pStyle w:val="KaryaIlmiahReferences"/>
        <w:rPr>
          <w:noProof/>
          <w:sz w:val="22"/>
          <w:szCs w:val="22"/>
        </w:rPr>
      </w:pPr>
      <w:r w:rsidRPr="00CC4F5B">
        <w:rPr>
          <w:noProof/>
          <w:sz w:val="22"/>
          <w:szCs w:val="22"/>
        </w:rPr>
        <w:t xml:space="preserve">Kowalewski, T.A. and Barral, S., 2005. Experiments and Modelling of Electrospinning Process. </w:t>
      </w:r>
      <w:r w:rsidRPr="00CC4F5B">
        <w:rPr>
          <w:i/>
          <w:iCs/>
          <w:noProof/>
          <w:sz w:val="22"/>
          <w:szCs w:val="22"/>
        </w:rPr>
        <w:t>Bulletin of the Polish Academy of Sciences: Technical Sciences</w:t>
      </w:r>
      <w:r w:rsidRPr="00CC4F5B">
        <w:rPr>
          <w:noProof/>
          <w:sz w:val="22"/>
          <w:szCs w:val="22"/>
        </w:rPr>
        <w:t>, 53(4), pp.385–394.</w:t>
      </w:r>
    </w:p>
    <w:p w:rsidR="00CC4F5B" w:rsidRPr="00CC4F5B" w:rsidRDefault="00CC4F5B" w:rsidP="00CC4F5B">
      <w:pPr>
        <w:pStyle w:val="KaryaIlmiahReferences"/>
        <w:rPr>
          <w:noProof/>
          <w:sz w:val="22"/>
          <w:szCs w:val="22"/>
        </w:rPr>
      </w:pPr>
      <w:r w:rsidRPr="00CC4F5B">
        <w:rPr>
          <w:noProof/>
          <w:sz w:val="22"/>
          <w:szCs w:val="22"/>
        </w:rPr>
        <w:t xml:space="preserve">Kuram, E., Ozcelik, B., and Demirbas, E., 2013. Environmentally Friendly Machining : Vegetable Based Cutting Fluids. In </w:t>
      </w:r>
      <w:r w:rsidRPr="00CC4F5B">
        <w:rPr>
          <w:i/>
          <w:iCs/>
          <w:noProof/>
          <w:sz w:val="22"/>
          <w:szCs w:val="22"/>
        </w:rPr>
        <w:t>Green Manufacturing Processes and Systems</w:t>
      </w:r>
      <w:r w:rsidRPr="00CC4F5B">
        <w:rPr>
          <w:noProof/>
          <w:sz w:val="22"/>
          <w:szCs w:val="22"/>
        </w:rPr>
        <w:t>. pp. 23–47.</w:t>
      </w:r>
    </w:p>
    <w:p w:rsidR="00CC4F5B" w:rsidRPr="00CC4F5B" w:rsidRDefault="00CC4F5B" w:rsidP="00CC4F5B">
      <w:pPr>
        <w:pStyle w:val="KaryaIlmiahReferences"/>
        <w:rPr>
          <w:noProof/>
          <w:sz w:val="22"/>
          <w:szCs w:val="22"/>
        </w:rPr>
      </w:pPr>
      <w:r w:rsidRPr="00CC4F5B">
        <w:rPr>
          <w:noProof/>
          <w:sz w:val="22"/>
          <w:szCs w:val="22"/>
        </w:rPr>
        <w:t xml:space="preserve">Lau, W.J. and Ismail, A.F., 2011. Progress in Interfacial Polymerization Technique on Composite Membrane Preparation. In </w:t>
      </w:r>
      <w:r w:rsidRPr="00CC4F5B">
        <w:rPr>
          <w:i/>
          <w:iCs/>
          <w:noProof/>
          <w:sz w:val="22"/>
          <w:szCs w:val="22"/>
        </w:rPr>
        <w:t>2nd International Conference on Environmental Engineering and Applications International Proceedings of Chemical, Biological and Environmental Engineering</w:t>
      </w:r>
      <w:r w:rsidRPr="00CC4F5B">
        <w:rPr>
          <w:noProof/>
          <w:sz w:val="22"/>
          <w:szCs w:val="22"/>
        </w:rPr>
        <w:t>. Singapore: IACSIT Press, Singapore, pp. 173–177. Available at: http://www.ipcbee.com/vol17/33-L10024.pdf</w:t>
      </w:r>
    </w:p>
    <w:p w:rsidR="00CC4F5B" w:rsidRPr="00CC4F5B" w:rsidRDefault="00CC4F5B" w:rsidP="00CC4F5B">
      <w:pPr>
        <w:pStyle w:val="KaryaIlmiahReferences"/>
        <w:rPr>
          <w:noProof/>
          <w:sz w:val="22"/>
          <w:szCs w:val="22"/>
        </w:rPr>
      </w:pPr>
      <w:r w:rsidRPr="00CC4F5B">
        <w:rPr>
          <w:noProof/>
          <w:sz w:val="22"/>
          <w:szCs w:val="22"/>
        </w:rPr>
        <w:t xml:space="preserve">Lawal, S.A., Choudhury, I.A., and Nukman, Y., 2013. A Critical Assessment of Lubrication Techniques in Machining Processes : A Case for Minimum Quantity Lubrication Using Vegetable Oil-Based Lubricant. </w:t>
      </w:r>
      <w:r w:rsidRPr="00CC4F5B">
        <w:rPr>
          <w:i/>
          <w:iCs/>
          <w:noProof/>
          <w:sz w:val="22"/>
          <w:szCs w:val="22"/>
        </w:rPr>
        <w:t>Journal of Cleaner Production</w:t>
      </w:r>
      <w:r w:rsidRPr="00CC4F5B">
        <w:rPr>
          <w:noProof/>
          <w:sz w:val="22"/>
          <w:szCs w:val="22"/>
        </w:rPr>
        <w:t>, 41, pp.210–221. Available at: http://dx.doi.org/10.1016/j.jclepro.2012.10.016</w:t>
      </w:r>
    </w:p>
    <w:p w:rsidR="00CC4F5B" w:rsidRPr="00CC4F5B" w:rsidRDefault="00CC4F5B" w:rsidP="00CC4F5B">
      <w:pPr>
        <w:pStyle w:val="KaryaIlmiahReferences"/>
        <w:rPr>
          <w:noProof/>
          <w:sz w:val="22"/>
          <w:szCs w:val="22"/>
        </w:rPr>
      </w:pPr>
      <w:r w:rsidRPr="00CC4F5B">
        <w:rPr>
          <w:noProof/>
          <w:sz w:val="22"/>
          <w:szCs w:val="22"/>
        </w:rPr>
        <w:t xml:space="preserve">Lee, W., Kang, S., and Shin, H., 2003. Sludge Characteristics and Their Contribution to Microfiltration in Submerged Membrane Bioreactors. </w:t>
      </w:r>
      <w:r w:rsidRPr="00CC4F5B">
        <w:rPr>
          <w:i/>
          <w:iCs/>
          <w:noProof/>
          <w:sz w:val="22"/>
          <w:szCs w:val="22"/>
        </w:rPr>
        <w:t>Journal of Membrane Science</w:t>
      </w:r>
      <w:r w:rsidRPr="00CC4F5B">
        <w:rPr>
          <w:noProof/>
          <w:sz w:val="22"/>
          <w:szCs w:val="22"/>
        </w:rPr>
        <w:t>, 216, pp.217–227.</w:t>
      </w:r>
    </w:p>
    <w:p w:rsidR="00CC4F5B" w:rsidRPr="00CC4F5B" w:rsidRDefault="00CC4F5B" w:rsidP="00CC4F5B">
      <w:pPr>
        <w:pStyle w:val="KaryaIlmiahReferences"/>
        <w:rPr>
          <w:noProof/>
          <w:sz w:val="22"/>
          <w:szCs w:val="22"/>
        </w:rPr>
      </w:pPr>
      <w:r w:rsidRPr="00CC4F5B">
        <w:rPr>
          <w:noProof/>
          <w:sz w:val="22"/>
          <w:szCs w:val="22"/>
        </w:rPr>
        <w:t xml:space="preserve">Mataram, A., Ismail, A.F., Mahmod, D.S.A., and Matsuura, T., 2010. Characterization and Mechanical Properties of Polyacrylonitrile/silica Composite Fibers Prepared via Dry-Jet Wet Spinning Process. </w:t>
      </w:r>
      <w:r w:rsidRPr="00CC4F5B">
        <w:rPr>
          <w:i/>
          <w:iCs/>
          <w:noProof/>
          <w:sz w:val="22"/>
          <w:szCs w:val="22"/>
        </w:rPr>
        <w:t>Materials Letters</w:t>
      </w:r>
      <w:r w:rsidRPr="00CC4F5B">
        <w:rPr>
          <w:noProof/>
          <w:sz w:val="22"/>
          <w:szCs w:val="22"/>
        </w:rPr>
        <w:t>, 64(17), pp.1875–1878. Available at: http://dx.doi.org/10.1016/j.matlet.2010.05.031</w:t>
      </w:r>
    </w:p>
    <w:p w:rsidR="00CC4F5B" w:rsidRPr="00CC4F5B" w:rsidRDefault="00CC4F5B" w:rsidP="00CC4F5B">
      <w:pPr>
        <w:pStyle w:val="KaryaIlmiahReferences"/>
        <w:rPr>
          <w:noProof/>
          <w:sz w:val="22"/>
          <w:szCs w:val="22"/>
        </w:rPr>
      </w:pPr>
      <w:r w:rsidRPr="00CC4F5B">
        <w:rPr>
          <w:noProof/>
          <w:sz w:val="22"/>
          <w:szCs w:val="22"/>
        </w:rPr>
        <w:t xml:space="preserve">Minnesota Technical Assistance Program (MTAP), 2015. </w:t>
      </w:r>
      <w:r w:rsidRPr="00CC4F5B">
        <w:rPr>
          <w:i/>
          <w:iCs/>
          <w:noProof/>
          <w:sz w:val="22"/>
          <w:szCs w:val="22"/>
        </w:rPr>
        <w:t>Developing a Coolant Maintenance Program for Machining Operations</w:t>
      </w:r>
      <w:r w:rsidRPr="00CC4F5B">
        <w:rPr>
          <w:noProof/>
          <w:sz w:val="22"/>
          <w:szCs w:val="22"/>
        </w:rPr>
        <w:t>, Minnesota: The University of Minnesota.</w:t>
      </w:r>
    </w:p>
    <w:p w:rsidR="00CC4F5B" w:rsidRPr="00CC4F5B" w:rsidRDefault="00CC4F5B" w:rsidP="00CC4F5B">
      <w:pPr>
        <w:pStyle w:val="KaryaIlmiahReferences"/>
        <w:rPr>
          <w:noProof/>
          <w:sz w:val="22"/>
          <w:szCs w:val="22"/>
        </w:rPr>
      </w:pPr>
      <w:r w:rsidRPr="00CC4F5B">
        <w:rPr>
          <w:noProof/>
          <w:sz w:val="22"/>
          <w:szCs w:val="22"/>
        </w:rPr>
        <w:t xml:space="preserve">Mulder, M., 1991. </w:t>
      </w:r>
      <w:r w:rsidRPr="00CC4F5B">
        <w:rPr>
          <w:i/>
          <w:iCs/>
          <w:noProof/>
          <w:sz w:val="22"/>
          <w:szCs w:val="22"/>
        </w:rPr>
        <w:t>Basic Principles of Membrane Technology</w:t>
      </w:r>
      <w:r w:rsidRPr="00CC4F5B">
        <w:rPr>
          <w:noProof/>
          <w:sz w:val="22"/>
          <w:szCs w:val="22"/>
        </w:rPr>
        <w:t xml:space="preserve"> 2nd., Dordrecht: Kluwer.</w:t>
      </w:r>
    </w:p>
    <w:p w:rsidR="00CC4F5B" w:rsidRPr="00CC4F5B" w:rsidRDefault="00CC4F5B" w:rsidP="00CC4F5B">
      <w:pPr>
        <w:pStyle w:val="KaryaIlmiahReferences"/>
        <w:rPr>
          <w:noProof/>
          <w:sz w:val="22"/>
          <w:szCs w:val="22"/>
        </w:rPr>
      </w:pPr>
      <w:r w:rsidRPr="00CC4F5B">
        <w:rPr>
          <w:noProof/>
          <w:sz w:val="22"/>
          <w:szCs w:val="22"/>
        </w:rPr>
        <w:t xml:space="preserve">Rautenbach, R. and Albrecht, R., 1989. </w:t>
      </w:r>
      <w:r w:rsidRPr="00CC4F5B">
        <w:rPr>
          <w:i/>
          <w:iCs/>
          <w:noProof/>
          <w:sz w:val="22"/>
          <w:szCs w:val="22"/>
        </w:rPr>
        <w:t>Membrane Processes</w:t>
      </w:r>
      <w:r w:rsidRPr="00CC4F5B">
        <w:rPr>
          <w:noProof/>
          <w:sz w:val="22"/>
          <w:szCs w:val="22"/>
        </w:rPr>
        <w:t xml:space="preserve"> 1st ed., Michigan, USA: John Wiley &amp; Sons, Inc.</w:t>
      </w:r>
    </w:p>
    <w:p w:rsidR="008E1957" w:rsidRDefault="00CC4F5B" w:rsidP="00CC4F5B">
      <w:pPr>
        <w:pStyle w:val="KaryaIlmiahReferences"/>
        <w:rPr>
          <w:noProof/>
          <w:sz w:val="22"/>
          <w:szCs w:val="22"/>
        </w:rPr>
      </w:pPr>
      <w:r w:rsidRPr="00CC4F5B">
        <w:rPr>
          <w:noProof/>
          <w:sz w:val="22"/>
          <w:szCs w:val="22"/>
        </w:rPr>
        <w:t xml:space="preserve">Ravanchi, M.T., Kaghazchi, T., and Kargari, A., 2009. Application of Membrane Separation Processes in Petrochemical Industry: A Review. </w:t>
      </w:r>
      <w:r w:rsidRPr="00CC4F5B">
        <w:rPr>
          <w:i/>
          <w:iCs/>
          <w:noProof/>
          <w:sz w:val="22"/>
          <w:szCs w:val="22"/>
        </w:rPr>
        <w:t>Desalination</w:t>
      </w:r>
      <w:r w:rsidRPr="00CC4F5B">
        <w:rPr>
          <w:noProof/>
          <w:sz w:val="22"/>
          <w:szCs w:val="22"/>
        </w:rPr>
        <w:t xml:space="preserve">, 235(1–3), pp.199–244. Available at: </w:t>
      </w:r>
      <w:hyperlink r:id="rId11" w:history="1">
        <w:r w:rsidR="008E1957" w:rsidRPr="00347117">
          <w:rPr>
            <w:rStyle w:val="Hyperlink"/>
            <w:noProof/>
            <w:sz w:val="22"/>
            <w:szCs w:val="22"/>
          </w:rPr>
          <w:t>http://dx.doi.org/10.1016/j.desal.2007.10.042</w:t>
        </w:r>
      </w:hyperlink>
      <w:r w:rsidR="008E1957">
        <w:rPr>
          <w:noProof/>
          <w:sz w:val="22"/>
          <w:szCs w:val="22"/>
        </w:rPr>
        <w:t>.</w:t>
      </w:r>
    </w:p>
    <w:p w:rsidR="00CC4F5B" w:rsidRPr="00CC4F5B" w:rsidRDefault="00CC4F5B" w:rsidP="00CC4F5B">
      <w:pPr>
        <w:pStyle w:val="KaryaIlmiahReferences"/>
        <w:rPr>
          <w:noProof/>
          <w:sz w:val="22"/>
          <w:szCs w:val="22"/>
        </w:rPr>
      </w:pPr>
      <w:r w:rsidRPr="00CC4F5B">
        <w:rPr>
          <w:noProof/>
          <w:sz w:val="22"/>
          <w:szCs w:val="22"/>
        </w:rPr>
        <w:t xml:space="preserve">Shashidhara, Y.M. and Jayaram, S.R., 2010. Vegetable Oils as a Potential Cutting Fluid-An Evolution. </w:t>
      </w:r>
      <w:r w:rsidRPr="00CC4F5B">
        <w:rPr>
          <w:i/>
          <w:iCs/>
          <w:noProof/>
          <w:sz w:val="22"/>
          <w:szCs w:val="22"/>
        </w:rPr>
        <w:t>Tribology International</w:t>
      </w:r>
      <w:r w:rsidRPr="00CC4F5B">
        <w:rPr>
          <w:noProof/>
          <w:sz w:val="22"/>
          <w:szCs w:val="22"/>
        </w:rPr>
        <w:t>, 43(5–6), pp.1073–1081. Available at: http://dx.doi.org/10.1016/j.triboint.2009.12.065</w:t>
      </w:r>
    </w:p>
    <w:p w:rsidR="006C2FDB" w:rsidRPr="006C2FDB" w:rsidRDefault="006C2FDB" w:rsidP="006C2FDB">
      <w:pPr>
        <w:tabs>
          <w:tab w:val="clear" w:pos="567"/>
        </w:tabs>
        <w:spacing w:line="240" w:lineRule="auto"/>
        <w:rPr>
          <w:i/>
          <w:sz w:val="22"/>
        </w:rPr>
      </w:pPr>
    </w:p>
    <w:sectPr w:rsidR="006C2FDB" w:rsidRPr="006C2FDB" w:rsidSect="00A73992">
      <w:pgSz w:w="11906" w:h="16838" w:code="9"/>
      <w:pgMar w:top="1440" w:right="1440" w:bottom="1440" w:left="144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IDBLFB+TimesNewRoman,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4F1A"/>
    <w:multiLevelType w:val="multilevel"/>
    <w:tmpl w:val="C8169E92"/>
    <w:lvl w:ilvl="0">
      <w:start w:val="1"/>
      <w:numFmt w:val="decimal"/>
      <w:pStyle w:val="Heading1"/>
      <w:suff w:val="nothing"/>
      <w:lvlText w:val="BAB %1"/>
      <w:lvlJc w:val="left"/>
      <w:pPr>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15:restartNumberingAfterBreak="0">
    <w:nsid w:val="06DB3DA5"/>
    <w:multiLevelType w:val="multilevel"/>
    <w:tmpl w:val="735629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BAF7B9B"/>
    <w:multiLevelType w:val="multilevel"/>
    <w:tmpl w:val="B12EE1E4"/>
    <w:lvl w:ilvl="0">
      <w:start w:val="1"/>
      <w:numFmt w:val="decimal"/>
      <w:suff w:val="nothing"/>
      <w:lvlText w:val="BAB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59D5781F"/>
    <w:multiLevelType w:val="hybridMultilevel"/>
    <w:tmpl w:val="DB54E81E"/>
    <w:lvl w:ilvl="0" w:tplc="EF2AB83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1025F"/>
    <w:multiLevelType w:val="multilevel"/>
    <w:tmpl w:val="3E6E6C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7123A48"/>
    <w:multiLevelType w:val="multilevel"/>
    <w:tmpl w:val="FBF48C90"/>
    <w:lvl w:ilvl="0">
      <w:start w:val="1"/>
      <w:numFmt w:val="decimal"/>
      <w:suff w:val="nothing"/>
      <w:lvlText w:val="BAB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78BB65F2"/>
    <w:multiLevelType w:val="multilevel"/>
    <w:tmpl w:val="25F23AB6"/>
    <w:lvl w:ilvl="0">
      <w:start w:val="1"/>
      <w:numFmt w:val="decimal"/>
      <w:suff w:val="nothing"/>
      <w:lvlText w:val="BAB %1"/>
      <w:lvlJc w:val="left"/>
      <w:pPr>
        <w:ind w:left="432" w:hanging="432"/>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6"/>
  </w:num>
  <w:num w:numId="7">
    <w:abstractNumId w:val="5"/>
  </w:num>
  <w:num w:numId="8">
    <w:abstractNumId w:val="0"/>
  </w:num>
  <w:num w:numId="9">
    <w:abstractNumId w:val="0"/>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92"/>
    <w:rsid w:val="00027DC4"/>
    <w:rsid w:val="00104DB5"/>
    <w:rsid w:val="001410F1"/>
    <w:rsid w:val="001D3CBC"/>
    <w:rsid w:val="001E6572"/>
    <w:rsid w:val="002467E6"/>
    <w:rsid w:val="003207A4"/>
    <w:rsid w:val="00345892"/>
    <w:rsid w:val="003722E6"/>
    <w:rsid w:val="00382351"/>
    <w:rsid w:val="003C7D00"/>
    <w:rsid w:val="003F6F76"/>
    <w:rsid w:val="00495E4A"/>
    <w:rsid w:val="004A7694"/>
    <w:rsid w:val="004D45DE"/>
    <w:rsid w:val="004F2D4F"/>
    <w:rsid w:val="00506175"/>
    <w:rsid w:val="00582F5C"/>
    <w:rsid w:val="00600B9F"/>
    <w:rsid w:val="006C2FDB"/>
    <w:rsid w:val="006C55B9"/>
    <w:rsid w:val="0079523E"/>
    <w:rsid w:val="007B0F5E"/>
    <w:rsid w:val="007B66A2"/>
    <w:rsid w:val="008861DA"/>
    <w:rsid w:val="008A410A"/>
    <w:rsid w:val="008E1957"/>
    <w:rsid w:val="008E60FF"/>
    <w:rsid w:val="008F058C"/>
    <w:rsid w:val="009D1548"/>
    <w:rsid w:val="009D3D49"/>
    <w:rsid w:val="00A32855"/>
    <w:rsid w:val="00A568E0"/>
    <w:rsid w:val="00A63C64"/>
    <w:rsid w:val="00A73992"/>
    <w:rsid w:val="00BA47B7"/>
    <w:rsid w:val="00BB2C42"/>
    <w:rsid w:val="00BB6477"/>
    <w:rsid w:val="00BE3606"/>
    <w:rsid w:val="00C010BB"/>
    <w:rsid w:val="00C4506B"/>
    <w:rsid w:val="00C54077"/>
    <w:rsid w:val="00C65F51"/>
    <w:rsid w:val="00C7681B"/>
    <w:rsid w:val="00CC4F5B"/>
    <w:rsid w:val="00CF058C"/>
    <w:rsid w:val="00D7126F"/>
    <w:rsid w:val="00DD2662"/>
    <w:rsid w:val="00DE16F0"/>
    <w:rsid w:val="00E83A9C"/>
    <w:rsid w:val="00E962E7"/>
    <w:rsid w:val="00EC5218"/>
    <w:rsid w:val="00F040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DADF1F4-36E7-4F35-80F0-668D8ED9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5B9"/>
    <w:pPr>
      <w:tabs>
        <w:tab w:val="left" w:pos="567"/>
      </w:tabs>
      <w:spacing w:after="0" w:line="360" w:lineRule="auto"/>
      <w:jc w:val="both"/>
    </w:pPr>
    <w:rPr>
      <w:rFonts w:ascii="Times New Roman" w:hAnsi="Times New Roman"/>
      <w:sz w:val="24"/>
      <w:lang w:val="en-US"/>
    </w:rPr>
  </w:style>
  <w:style w:type="paragraph" w:styleId="Heading1">
    <w:name w:val="heading 1"/>
    <w:basedOn w:val="Normal"/>
    <w:next w:val="Normal"/>
    <w:link w:val="Heading1Char"/>
    <w:autoRedefine/>
    <w:uiPriority w:val="9"/>
    <w:qFormat/>
    <w:rsid w:val="00C65F51"/>
    <w:pPr>
      <w:keepNext/>
      <w:keepLines/>
      <w:numPr>
        <w:numId w:val="8"/>
      </w:numPr>
      <w:tabs>
        <w:tab w:val="clear" w:pos="567"/>
      </w:tabs>
      <w:spacing w:line="276" w:lineRule="auto"/>
      <w:ind w:left="0" w:firstLine="0"/>
      <w:jc w:val="center"/>
      <w:outlineLvl w:val="0"/>
    </w:pPr>
    <w:rPr>
      <w:rFonts w:eastAsiaTheme="majorEastAsia" w:cstheme="majorBidi"/>
      <w:b/>
      <w:sz w:val="28"/>
      <w:szCs w:val="32"/>
      <w:lang w:val="id-ID"/>
    </w:rPr>
  </w:style>
  <w:style w:type="paragraph" w:styleId="Heading2">
    <w:name w:val="heading 2"/>
    <w:basedOn w:val="Normal"/>
    <w:next w:val="Normal"/>
    <w:link w:val="Heading2Char"/>
    <w:autoRedefine/>
    <w:uiPriority w:val="9"/>
    <w:unhideWhenUsed/>
    <w:qFormat/>
    <w:rsid w:val="003C7D00"/>
    <w:pPr>
      <w:keepNext/>
      <w:keepLines/>
      <w:numPr>
        <w:ilvl w:val="1"/>
        <w:numId w:val="7"/>
      </w:numPr>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3C7D00"/>
    <w:pPr>
      <w:keepNext/>
      <w:keepLines/>
      <w:numPr>
        <w:ilvl w:val="2"/>
        <w:numId w:val="7"/>
      </w:numPr>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CC4F5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F51"/>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3C7D00"/>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3C7D00"/>
    <w:rPr>
      <w:rFonts w:ascii="Times New Roman" w:eastAsiaTheme="majorEastAsia" w:hAnsi="Times New Roman" w:cstheme="majorBidi"/>
      <w:b/>
      <w:sz w:val="24"/>
      <w:szCs w:val="24"/>
      <w:lang w:val="en-US"/>
    </w:rPr>
  </w:style>
  <w:style w:type="character" w:styleId="LineNumber">
    <w:name w:val="line number"/>
    <w:basedOn w:val="DefaultParagraphFont"/>
    <w:uiPriority w:val="99"/>
    <w:semiHidden/>
    <w:unhideWhenUsed/>
    <w:rsid w:val="00A73992"/>
  </w:style>
  <w:style w:type="paragraph" w:styleId="ListParagraph">
    <w:name w:val="List Paragraph"/>
    <w:basedOn w:val="Normal"/>
    <w:uiPriority w:val="34"/>
    <w:qFormat/>
    <w:rsid w:val="001D3CBC"/>
    <w:pPr>
      <w:ind w:left="720"/>
      <w:contextualSpacing/>
    </w:pPr>
  </w:style>
  <w:style w:type="table" w:customStyle="1" w:styleId="TableGrid1">
    <w:name w:val="Table Grid1"/>
    <w:basedOn w:val="TableNormal"/>
    <w:next w:val="TableGrid"/>
    <w:uiPriority w:val="39"/>
    <w:rsid w:val="00320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0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E3606"/>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E3606"/>
    <w:rPr>
      <w:rFonts w:ascii="Courier New" w:eastAsia="Times New Roman" w:hAnsi="Courier New" w:cs="Courier New"/>
      <w:sz w:val="20"/>
      <w:szCs w:val="20"/>
      <w:lang w:val="en-US"/>
    </w:rPr>
  </w:style>
  <w:style w:type="paragraph" w:customStyle="1" w:styleId="TTPSectionHeading">
    <w:name w:val="TTP Section Heading"/>
    <w:basedOn w:val="Normal"/>
    <w:next w:val="TTPParagraph1st"/>
    <w:uiPriority w:val="99"/>
    <w:rsid w:val="001410F1"/>
    <w:pPr>
      <w:tabs>
        <w:tab w:val="clear" w:pos="567"/>
      </w:tabs>
      <w:autoSpaceDE w:val="0"/>
      <w:autoSpaceDN w:val="0"/>
      <w:spacing w:before="360" w:after="120" w:line="240" w:lineRule="auto"/>
    </w:pPr>
    <w:rPr>
      <w:rFonts w:eastAsia="SimSun" w:cs="Times New Roman"/>
      <w:b/>
      <w:bCs/>
      <w:szCs w:val="24"/>
    </w:rPr>
  </w:style>
  <w:style w:type="paragraph" w:customStyle="1" w:styleId="TTPParagraph1st">
    <w:name w:val="TTP Paragraph (1st)"/>
    <w:basedOn w:val="Normal"/>
    <w:next w:val="TTPParagraphothers"/>
    <w:uiPriority w:val="99"/>
    <w:rsid w:val="001410F1"/>
    <w:pPr>
      <w:tabs>
        <w:tab w:val="clear" w:pos="567"/>
      </w:tabs>
      <w:autoSpaceDE w:val="0"/>
      <w:autoSpaceDN w:val="0"/>
      <w:spacing w:line="240" w:lineRule="auto"/>
    </w:pPr>
    <w:rPr>
      <w:rFonts w:eastAsia="SimSun" w:cs="Times New Roman"/>
      <w:szCs w:val="24"/>
    </w:rPr>
  </w:style>
  <w:style w:type="paragraph" w:customStyle="1" w:styleId="TTPParagraphothers">
    <w:name w:val="TTP Paragraph (others)"/>
    <w:basedOn w:val="TTPParagraph1st"/>
    <w:uiPriority w:val="99"/>
    <w:rsid w:val="001410F1"/>
    <w:pPr>
      <w:ind w:firstLine="283"/>
    </w:pPr>
  </w:style>
  <w:style w:type="paragraph" w:customStyle="1" w:styleId="Default">
    <w:name w:val="Default"/>
    <w:rsid w:val="00E83A9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Normal11">
    <w:name w:val="Normal 11"/>
    <w:basedOn w:val="Normal"/>
    <w:autoRedefine/>
    <w:qFormat/>
    <w:rsid w:val="00E83A9C"/>
    <w:pPr>
      <w:tabs>
        <w:tab w:val="clear" w:pos="567"/>
      </w:tabs>
      <w:spacing w:line="240" w:lineRule="auto"/>
      <w:jc w:val="left"/>
    </w:pPr>
    <w:rPr>
      <w:sz w:val="22"/>
    </w:rPr>
  </w:style>
  <w:style w:type="paragraph" w:customStyle="1" w:styleId="KaryaIlmiahTabelJudul">
    <w:name w:val="Karya Ilmiah Tabel Judul"/>
    <w:basedOn w:val="Caption"/>
    <w:next w:val="Normal11"/>
    <w:autoRedefine/>
    <w:qFormat/>
    <w:rsid w:val="00E83A9C"/>
    <w:pPr>
      <w:tabs>
        <w:tab w:val="clear" w:pos="567"/>
        <w:tab w:val="left" w:pos="1134"/>
      </w:tabs>
      <w:spacing w:after="0"/>
      <w:ind w:left="1134" w:hanging="1134"/>
    </w:pPr>
    <w:rPr>
      <w:rFonts w:cs="Times New Roman"/>
      <w:i w:val="0"/>
      <w:color w:val="000000" w:themeColor="text1"/>
      <w:sz w:val="24"/>
      <w:szCs w:val="24"/>
    </w:rPr>
  </w:style>
  <w:style w:type="paragraph" w:styleId="Caption">
    <w:name w:val="caption"/>
    <w:basedOn w:val="Normal"/>
    <w:next w:val="Normal"/>
    <w:uiPriority w:val="35"/>
    <w:semiHidden/>
    <w:unhideWhenUsed/>
    <w:qFormat/>
    <w:rsid w:val="00E83A9C"/>
    <w:pPr>
      <w:spacing w:after="200" w:line="240" w:lineRule="auto"/>
    </w:pPr>
    <w:rPr>
      <w:i/>
      <w:iCs/>
      <w:color w:val="44546A" w:themeColor="text2"/>
      <w:sz w:val="18"/>
      <w:szCs w:val="18"/>
    </w:rPr>
  </w:style>
  <w:style w:type="paragraph" w:customStyle="1" w:styleId="KaryaIlmiahParagrap">
    <w:name w:val="Karya Ilmiah Paragrap"/>
    <w:basedOn w:val="Normal"/>
    <w:autoRedefine/>
    <w:qFormat/>
    <w:rsid w:val="0079523E"/>
    <w:pPr>
      <w:tabs>
        <w:tab w:val="clear" w:pos="567"/>
        <w:tab w:val="right" w:pos="7653"/>
      </w:tabs>
      <w:spacing w:line="240" w:lineRule="auto"/>
      <w:ind w:firstLine="284"/>
    </w:pPr>
    <w:rPr>
      <w:rFonts w:cs="Times New Roman"/>
      <w:color w:val="000000" w:themeColor="text1"/>
      <w:szCs w:val="24"/>
      <w:lang w:val="en-GB"/>
    </w:rPr>
  </w:style>
  <w:style w:type="paragraph" w:customStyle="1" w:styleId="KaryaIlmiahPers">
    <w:name w:val="Karya Ilmiah Pers"/>
    <w:basedOn w:val="Caption"/>
    <w:next w:val="KaryaIlmiahParagrap"/>
    <w:autoRedefine/>
    <w:qFormat/>
    <w:rsid w:val="0079523E"/>
    <w:pPr>
      <w:tabs>
        <w:tab w:val="clear" w:pos="567"/>
        <w:tab w:val="right" w:pos="6022"/>
      </w:tabs>
      <w:spacing w:before="360" w:after="360"/>
      <w:jc w:val="right"/>
    </w:pPr>
    <w:rPr>
      <w:rFonts w:cs="Times New Roman"/>
      <w:i w:val="0"/>
      <w:color w:val="000000" w:themeColor="text1"/>
      <w:sz w:val="24"/>
      <w:szCs w:val="24"/>
    </w:rPr>
  </w:style>
  <w:style w:type="paragraph" w:customStyle="1" w:styleId="KaryaIlmiahParagrapLeft">
    <w:name w:val="Karya Ilmiah Paragrap Left"/>
    <w:basedOn w:val="KaryaIlmiahParagrap"/>
    <w:next w:val="KaryaIlmiahParagrap"/>
    <w:autoRedefine/>
    <w:qFormat/>
    <w:rsid w:val="0079523E"/>
    <w:rPr>
      <w:rFonts w:eastAsia="MS Mincho"/>
      <w:lang w:val="id-ID" w:eastAsia="ja-JP"/>
    </w:rPr>
  </w:style>
  <w:style w:type="character" w:customStyle="1" w:styleId="Heading4Char">
    <w:name w:val="Heading 4 Char"/>
    <w:basedOn w:val="DefaultParagraphFont"/>
    <w:link w:val="Heading4"/>
    <w:uiPriority w:val="9"/>
    <w:rsid w:val="00CC4F5B"/>
    <w:rPr>
      <w:rFonts w:asciiTheme="majorHAnsi" w:eastAsiaTheme="majorEastAsia" w:hAnsiTheme="majorHAnsi" w:cstheme="majorBidi"/>
      <w:i/>
      <w:iCs/>
      <w:color w:val="2E74B5" w:themeColor="accent1" w:themeShade="BF"/>
      <w:sz w:val="24"/>
      <w:lang w:val="en-US"/>
    </w:rPr>
  </w:style>
  <w:style w:type="paragraph" w:customStyle="1" w:styleId="KaryaIlmiahReferences">
    <w:name w:val="Karya Ilmiah References"/>
    <w:basedOn w:val="Normal"/>
    <w:autoRedefine/>
    <w:qFormat/>
    <w:rsid w:val="00CC4F5B"/>
    <w:pPr>
      <w:tabs>
        <w:tab w:val="clear" w:pos="567"/>
      </w:tabs>
      <w:spacing w:after="120" w:line="240" w:lineRule="auto"/>
      <w:ind w:left="720" w:hanging="720"/>
    </w:pPr>
    <w:rPr>
      <w:rFonts w:cs="Times New Roman"/>
      <w:szCs w:val="24"/>
    </w:rPr>
  </w:style>
  <w:style w:type="character" w:styleId="Hyperlink">
    <w:name w:val="Hyperlink"/>
    <w:basedOn w:val="DefaultParagraphFont"/>
    <w:uiPriority w:val="99"/>
    <w:unhideWhenUsed/>
    <w:rsid w:val="008E19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1.vsdx"/><Relationship Id="rId11" Type="http://schemas.openxmlformats.org/officeDocument/2006/relationships/hyperlink" Target="http://dx.doi.org/10.1016/j.desal.2007.10.042" TargetMode="External"/><Relationship Id="rId5" Type="http://schemas.openxmlformats.org/officeDocument/2006/relationships/image" Target="media/image1.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7</Pages>
  <Words>4117</Words>
  <Characters>23472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tarmizi taher</dc:creator>
  <cp:keywords/>
  <dc:description/>
  <cp:lastModifiedBy>Erna Yuliwati</cp:lastModifiedBy>
  <cp:revision>11</cp:revision>
  <cp:lastPrinted>2016-06-13T23:37:00Z</cp:lastPrinted>
  <dcterms:created xsi:type="dcterms:W3CDTF">2017-10-29T14:02:00Z</dcterms:created>
  <dcterms:modified xsi:type="dcterms:W3CDTF">2017-11-01T15:51:00Z</dcterms:modified>
</cp:coreProperties>
</file>