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C3" w:rsidRPr="001F4EC3" w:rsidRDefault="001F4EC3" w:rsidP="001F4EC3">
      <w:pPr>
        <w:ind w:firstLine="0"/>
        <w:jc w:val="center"/>
        <w:rPr>
          <w:rFonts w:cs="Times New Roman"/>
          <w:b/>
          <w:sz w:val="28"/>
          <w:lang w:val="id-ID"/>
        </w:rPr>
      </w:pPr>
      <w:r w:rsidRPr="001F4EC3">
        <w:rPr>
          <w:rFonts w:cs="Times New Roman"/>
          <w:b/>
          <w:sz w:val="28"/>
          <w:lang w:val="id-ID"/>
        </w:rPr>
        <w:t>Implementation of Social Forestry Policy Around the Meranti</w:t>
      </w:r>
      <w:r>
        <w:rPr>
          <w:rFonts w:cs="Times New Roman"/>
          <w:b/>
          <w:sz w:val="28"/>
        </w:rPr>
        <w:t xml:space="preserve"> Sungai </w:t>
      </w:r>
      <w:proofErr w:type="spellStart"/>
      <w:r>
        <w:rPr>
          <w:rFonts w:cs="Times New Roman"/>
          <w:b/>
          <w:sz w:val="28"/>
        </w:rPr>
        <w:t>Merah</w:t>
      </w:r>
      <w:proofErr w:type="spellEnd"/>
      <w:r w:rsidRPr="001F4EC3">
        <w:rPr>
          <w:rFonts w:cs="Times New Roman"/>
          <w:b/>
          <w:sz w:val="28"/>
          <w:lang w:val="id-ID"/>
        </w:rPr>
        <w:t xml:space="preserve"> Protection Forest Area</w:t>
      </w:r>
    </w:p>
    <w:p w:rsidR="001F4EC3" w:rsidRPr="0045178E" w:rsidRDefault="001F4EC3" w:rsidP="0045178E">
      <w:pPr>
        <w:ind w:firstLine="0"/>
        <w:jc w:val="center"/>
        <w:rPr>
          <w:rFonts w:cs="Times New Roman"/>
          <w:b/>
          <w:sz w:val="28"/>
        </w:rPr>
      </w:pPr>
    </w:p>
    <w:p w:rsidR="00B66797" w:rsidRPr="0045178E" w:rsidRDefault="00B66797" w:rsidP="007B18A2">
      <w:pPr>
        <w:ind w:firstLine="0"/>
        <w:jc w:val="center"/>
        <w:outlineLvl w:val="0"/>
        <w:rPr>
          <w:rFonts w:cs="Times New Roman"/>
          <w:b/>
          <w:sz w:val="22"/>
          <w:szCs w:val="24"/>
        </w:rPr>
      </w:pPr>
      <w:bookmarkStart w:id="0" w:name="_Hlk4495194"/>
      <w:r w:rsidRPr="0045178E">
        <w:rPr>
          <w:rFonts w:cs="Times New Roman"/>
          <w:b/>
          <w:sz w:val="22"/>
          <w:szCs w:val="24"/>
        </w:rPr>
        <w:t>Heripan</w:t>
      </w:r>
      <w:r w:rsidRPr="0045178E">
        <w:rPr>
          <w:rFonts w:cs="Times New Roman"/>
          <w:b/>
          <w:sz w:val="22"/>
          <w:szCs w:val="24"/>
          <w:vertAlign w:val="superscript"/>
        </w:rPr>
        <w:t>1</w:t>
      </w:r>
      <w:r w:rsidR="00F065F6" w:rsidRPr="0045178E">
        <w:rPr>
          <w:rFonts w:cs="Times New Roman"/>
          <w:b/>
          <w:sz w:val="22"/>
          <w:szCs w:val="24"/>
          <w:vertAlign w:val="superscript"/>
        </w:rPr>
        <w:t>*</w:t>
      </w:r>
      <w:r w:rsidRPr="0045178E">
        <w:rPr>
          <w:rFonts w:cs="Times New Roman"/>
          <w:b/>
          <w:sz w:val="22"/>
          <w:szCs w:val="24"/>
        </w:rPr>
        <w:t xml:space="preserve">, </w:t>
      </w:r>
      <w:r w:rsidRPr="0045178E">
        <w:rPr>
          <w:rFonts w:cs="Times New Roman"/>
          <w:b/>
          <w:kern w:val="0"/>
          <w:sz w:val="22"/>
          <w:szCs w:val="24"/>
          <w:lang w:val="id-ID"/>
        </w:rPr>
        <w:t>Ridhah Taqwa</w:t>
      </w:r>
      <w:r w:rsidRPr="0045178E">
        <w:rPr>
          <w:rFonts w:cs="Times New Roman"/>
          <w:b/>
          <w:sz w:val="22"/>
          <w:szCs w:val="24"/>
          <w:vertAlign w:val="superscript"/>
        </w:rPr>
        <w:t>2</w:t>
      </w:r>
      <w:r w:rsidRPr="0045178E">
        <w:rPr>
          <w:rFonts w:cs="Times New Roman"/>
          <w:b/>
          <w:sz w:val="22"/>
          <w:szCs w:val="24"/>
        </w:rPr>
        <w:t xml:space="preserve">, </w:t>
      </w:r>
      <w:r w:rsidRPr="0045178E">
        <w:rPr>
          <w:rFonts w:cs="Times New Roman"/>
          <w:b/>
          <w:kern w:val="0"/>
          <w:sz w:val="22"/>
          <w:szCs w:val="24"/>
          <w:lang w:val="id-ID"/>
        </w:rPr>
        <w:t>Dwi Putro Priadi</w:t>
      </w:r>
      <w:r w:rsidRPr="0045178E">
        <w:rPr>
          <w:rFonts w:cs="Times New Roman"/>
          <w:b/>
          <w:sz w:val="22"/>
          <w:szCs w:val="24"/>
          <w:vertAlign w:val="superscript"/>
        </w:rPr>
        <w:t>2</w:t>
      </w:r>
      <w:r w:rsidRPr="0045178E">
        <w:rPr>
          <w:rFonts w:cs="Times New Roman"/>
          <w:b/>
          <w:sz w:val="22"/>
          <w:szCs w:val="24"/>
        </w:rPr>
        <w:t xml:space="preserve">, </w:t>
      </w:r>
      <w:proofErr w:type="spellStart"/>
      <w:r w:rsidRPr="0045178E">
        <w:rPr>
          <w:rFonts w:cs="Times New Roman"/>
          <w:b/>
          <w:sz w:val="22"/>
          <w:szCs w:val="24"/>
        </w:rPr>
        <w:t>Noril</w:t>
      </w:r>
      <w:proofErr w:type="spellEnd"/>
      <w:r w:rsidRPr="0045178E">
        <w:rPr>
          <w:rFonts w:cs="Times New Roman"/>
          <w:b/>
          <w:sz w:val="22"/>
          <w:szCs w:val="24"/>
        </w:rPr>
        <w:t xml:space="preserve"> Milantara</w:t>
      </w:r>
      <w:r w:rsidR="00F065F6" w:rsidRPr="0045178E">
        <w:rPr>
          <w:rFonts w:cs="Times New Roman"/>
          <w:b/>
          <w:sz w:val="22"/>
          <w:szCs w:val="24"/>
          <w:vertAlign w:val="superscript"/>
        </w:rPr>
        <w:t>3</w:t>
      </w:r>
      <w:r w:rsidRPr="0045178E">
        <w:rPr>
          <w:rFonts w:cs="Times New Roman"/>
          <w:b/>
          <w:sz w:val="22"/>
          <w:szCs w:val="24"/>
        </w:rPr>
        <w:t>, Jun Harbi</w:t>
      </w:r>
      <w:r w:rsidR="00F065F6" w:rsidRPr="0045178E">
        <w:rPr>
          <w:rFonts w:cs="Times New Roman"/>
          <w:b/>
          <w:sz w:val="22"/>
          <w:szCs w:val="24"/>
          <w:vertAlign w:val="superscript"/>
        </w:rPr>
        <w:t>3</w:t>
      </w:r>
      <w:proofErr w:type="gramStart"/>
      <w:r w:rsidR="00F065F6" w:rsidRPr="0045178E">
        <w:rPr>
          <w:rFonts w:cs="Times New Roman"/>
          <w:b/>
          <w:sz w:val="22"/>
          <w:szCs w:val="24"/>
          <w:vertAlign w:val="superscript"/>
        </w:rPr>
        <w:t>,4</w:t>
      </w:r>
      <w:proofErr w:type="gramEnd"/>
    </w:p>
    <w:p w:rsidR="00B66797" w:rsidRPr="0045178E" w:rsidRDefault="00B66797" w:rsidP="00044D25">
      <w:pPr>
        <w:ind w:firstLine="0"/>
        <w:jc w:val="center"/>
        <w:rPr>
          <w:rFonts w:cs="Times New Roman"/>
          <w:sz w:val="22"/>
          <w:szCs w:val="24"/>
        </w:rPr>
      </w:pPr>
    </w:p>
    <w:p w:rsidR="00B66797" w:rsidRPr="0045178E" w:rsidRDefault="00B66797" w:rsidP="007B18A2">
      <w:pPr>
        <w:ind w:firstLine="0"/>
        <w:jc w:val="center"/>
        <w:outlineLvl w:val="0"/>
        <w:rPr>
          <w:rFonts w:cs="Times New Roman"/>
          <w:i/>
          <w:sz w:val="22"/>
          <w:szCs w:val="24"/>
        </w:rPr>
      </w:pPr>
      <w:r w:rsidRPr="0045178E">
        <w:rPr>
          <w:rFonts w:cs="Times New Roman"/>
          <w:i/>
          <w:sz w:val="22"/>
          <w:szCs w:val="24"/>
          <w:vertAlign w:val="superscript"/>
        </w:rPr>
        <w:t xml:space="preserve">1 </w:t>
      </w:r>
      <w:r w:rsidRPr="0045178E">
        <w:rPr>
          <w:rFonts w:cs="Times New Roman"/>
          <w:i/>
          <w:sz w:val="22"/>
          <w:szCs w:val="24"/>
        </w:rPr>
        <w:t>Magister Student of Environmental Managemen</w:t>
      </w:r>
      <w:r w:rsidR="0045178E">
        <w:rPr>
          <w:rFonts w:cs="Times New Roman"/>
          <w:i/>
          <w:sz w:val="22"/>
          <w:szCs w:val="24"/>
        </w:rPr>
        <w:t>t</w:t>
      </w:r>
      <w:r w:rsidRPr="0045178E">
        <w:rPr>
          <w:rFonts w:cs="Times New Roman"/>
          <w:i/>
          <w:sz w:val="22"/>
          <w:szCs w:val="24"/>
        </w:rPr>
        <w:t xml:space="preserve"> in </w:t>
      </w:r>
      <w:proofErr w:type="spellStart"/>
      <w:r w:rsidRPr="0045178E">
        <w:rPr>
          <w:rFonts w:cs="Times New Roman"/>
          <w:i/>
          <w:sz w:val="22"/>
          <w:szCs w:val="24"/>
        </w:rPr>
        <w:t>Sriwijaya</w:t>
      </w:r>
      <w:proofErr w:type="spellEnd"/>
      <w:r w:rsidRPr="0045178E">
        <w:rPr>
          <w:rFonts w:cs="Times New Roman"/>
          <w:i/>
          <w:sz w:val="22"/>
          <w:szCs w:val="24"/>
        </w:rPr>
        <w:t xml:space="preserve"> University</w:t>
      </w:r>
    </w:p>
    <w:p w:rsidR="00B66797" w:rsidRPr="0045178E" w:rsidRDefault="00B66797" w:rsidP="00044D25">
      <w:pPr>
        <w:ind w:firstLine="0"/>
        <w:jc w:val="center"/>
        <w:rPr>
          <w:rFonts w:cs="Times New Roman"/>
          <w:i/>
          <w:sz w:val="22"/>
          <w:szCs w:val="24"/>
        </w:rPr>
      </w:pPr>
      <w:r w:rsidRPr="0045178E">
        <w:rPr>
          <w:rFonts w:cs="Times New Roman"/>
          <w:i/>
          <w:sz w:val="22"/>
          <w:szCs w:val="24"/>
          <w:vertAlign w:val="superscript"/>
        </w:rPr>
        <w:t xml:space="preserve">2 </w:t>
      </w:r>
      <w:proofErr w:type="gramStart"/>
      <w:r w:rsidRPr="0045178E">
        <w:rPr>
          <w:rFonts w:cs="Times New Roman"/>
          <w:i/>
          <w:sz w:val="22"/>
          <w:szCs w:val="24"/>
        </w:rPr>
        <w:t>Lecturer</w:t>
      </w:r>
      <w:proofErr w:type="gramEnd"/>
      <w:r w:rsidRPr="0045178E">
        <w:rPr>
          <w:rFonts w:cs="Times New Roman"/>
          <w:i/>
          <w:sz w:val="22"/>
          <w:szCs w:val="24"/>
        </w:rPr>
        <w:t xml:space="preserve"> in Magister Environmental Managemen</w:t>
      </w:r>
      <w:r w:rsidR="0045178E">
        <w:rPr>
          <w:rFonts w:cs="Times New Roman"/>
          <w:i/>
          <w:sz w:val="22"/>
          <w:szCs w:val="24"/>
        </w:rPr>
        <w:t>t</w:t>
      </w:r>
      <w:r w:rsidRPr="0045178E">
        <w:rPr>
          <w:rFonts w:cs="Times New Roman"/>
          <w:i/>
          <w:sz w:val="22"/>
          <w:szCs w:val="24"/>
        </w:rPr>
        <w:t xml:space="preserve"> of </w:t>
      </w:r>
      <w:proofErr w:type="spellStart"/>
      <w:r w:rsidRPr="0045178E">
        <w:rPr>
          <w:rFonts w:cs="Times New Roman"/>
          <w:i/>
          <w:sz w:val="22"/>
          <w:szCs w:val="24"/>
        </w:rPr>
        <w:t>Sriwijaya</w:t>
      </w:r>
      <w:proofErr w:type="spellEnd"/>
      <w:r w:rsidRPr="0045178E">
        <w:rPr>
          <w:rFonts w:cs="Times New Roman"/>
          <w:i/>
          <w:sz w:val="22"/>
          <w:szCs w:val="24"/>
        </w:rPr>
        <w:t xml:space="preserve"> University</w:t>
      </w:r>
    </w:p>
    <w:p w:rsidR="00F065F6" w:rsidRPr="0045178E" w:rsidRDefault="00F065F6" w:rsidP="00044D25">
      <w:pPr>
        <w:ind w:firstLine="0"/>
        <w:jc w:val="center"/>
        <w:rPr>
          <w:rFonts w:cs="Times New Roman"/>
          <w:i/>
          <w:sz w:val="22"/>
          <w:szCs w:val="24"/>
        </w:rPr>
      </w:pPr>
      <w:r w:rsidRPr="0045178E">
        <w:rPr>
          <w:rFonts w:cs="Times New Roman"/>
          <w:i/>
          <w:sz w:val="22"/>
          <w:szCs w:val="24"/>
          <w:vertAlign w:val="superscript"/>
        </w:rPr>
        <w:t>3</w:t>
      </w:r>
      <w:r w:rsidRPr="0045178E">
        <w:rPr>
          <w:rFonts w:cs="Times New Roman"/>
          <w:i/>
          <w:sz w:val="22"/>
          <w:szCs w:val="24"/>
        </w:rPr>
        <w:t xml:space="preserve">Forestry Department, </w:t>
      </w:r>
      <w:proofErr w:type="spellStart"/>
      <w:r w:rsidRPr="0045178E">
        <w:rPr>
          <w:rFonts w:cs="Times New Roman"/>
          <w:i/>
          <w:sz w:val="22"/>
          <w:szCs w:val="24"/>
        </w:rPr>
        <w:t>Muhammadiyah</w:t>
      </w:r>
      <w:proofErr w:type="spellEnd"/>
      <w:r w:rsidRPr="0045178E">
        <w:rPr>
          <w:rFonts w:cs="Times New Roman"/>
          <w:i/>
          <w:sz w:val="22"/>
          <w:szCs w:val="24"/>
        </w:rPr>
        <w:t xml:space="preserve"> University of Palembang</w:t>
      </w:r>
    </w:p>
    <w:p w:rsidR="00F065F6" w:rsidRPr="0045178E" w:rsidRDefault="00F065F6" w:rsidP="00044D25">
      <w:pPr>
        <w:ind w:firstLine="0"/>
        <w:jc w:val="center"/>
        <w:rPr>
          <w:rFonts w:cs="Times New Roman"/>
          <w:i/>
          <w:sz w:val="22"/>
          <w:szCs w:val="24"/>
        </w:rPr>
      </w:pPr>
      <w:r w:rsidRPr="0045178E">
        <w:rPr>
          <w:rFonts w:cs="Times New Roman"/>
          <w:i/>
          <w:sz w:val="22"/>
          <w:szCs w:val="24"/>
          <w:vertAlign w:val="superscript"/>
        </w:rPr>
        <w:t>4</w:t>
      </w:r>
      <w:r w:rsidRPr="0045178E">
        <w:rPr>
          <w:rFonts w:cs="Times New Roman"/>
          <w:i/>
          <w:sz w:val="22"/>
          <w:szCs w:val="24"/>
        </w:rPr>
        <w:t>Forestry Economics and Management, Northeast Forestry University</w:t>
      </w:r>
    </w:p>
    <w:p w:rsidR="00B66797" w:rsidRPr="0045178E" w:rsidRDefault="00B66797" w:rsidP="00044D25">
      <w:pPr>
        <w:ind w:firstLine="0"/>
        <w:jc w:val="center"/>
        <w:rPr>
          <w:rFonts w:cs="Times New Roman"/>
          <w:i/>
          <w:sz w:val="22"/>
          <w:szCs w:val="24"/>
        </w:rPr>
      </w:pPr>
      <w:r w:rsidRPr="0045178E">
        <w:rPr>
          <w:rFonts w:cs="Times New Roman"/>
          <w:i/>
          <w:sz w:val="22"/>
          <w:szCs w:val="24"/>
        </w:rPr>
        <w:t>*</w:t>
      </w:r>
      <w:r w:rsidR="00F065F6" w:rsidRPr="0045178E">
        <w:rPr>
          <w:rFonts w:cs="Times New Roman"/>
          <w:i/>
          <w:sz w:val="22"/>
          <w:szCs w:val="24"/>
        </w:rPr>
        <w:t>Corresponding author, e</w:t>
      </w:r>
      <w:r w:rsidRPr="0045178E">
        <w:rPr>
          <w:rFonts w:cs="Times New Roman"/>
          <w:i/>
          <w:sz w:val="22"/>
          <w:szCs w:val="24"/>
        </w:rPr>
        <w:t xml:space="preserve">-mail: </w:t>
      </w:r>
      <w:r w:rsidR="00F065F6" w:rsidRPr="0045178E">
        <w:rPr>
          <w:rFonts w:cs="Times New Roman"/>
          <w:i/>
          <w:sz w:val="22"/>
          <w:szCs w:val="24"/>
        </w:rPr>
        <w:t>heripanh</w:t>
      </w:r>
      <w:r w:rsidRPr="0045178E">
        <w:rPr>
          <w:rFonts w:cs="Times New Roman"/>
          <w:i/>
          <w:sz w:val="22"/>
          <w:szCs w:val="24"/>
        </w:rPr>
        <w:t>@gmail.com</w:t>
      </w:r>
    </w:p>
    <w:p w:rsidR="00F065F6" w:rsidRDefault="00F065F6" w:rsidP="0045178E">
      <w:pPr>
        <w:jc w:val="center"/>
        <w:rPr>
          <w:rFonts w:cs="Times New Roman"/>
          <w:szCs w:val="24"/>
        </w:rPr>
      </w:pPr>
    </w:p>
    <w:p w:rsidR="006F62BD" w:rsidRPr="006F62BD" w:rsidRDefault="00F065F6" w:rsidP="006F62BD">
      <w:pPr>
        <w:ind w:firstLine="0"/>
      </w:pPr>
      <w:proofErr w:type="spellStart"/>
      <w:r w:rsidRPr="0045178E">
        <w:rPr>
          <w:b/>
        </w:rPr>
        <w:t>Abst</w:t>
      </w:r>
      <w:r w:rsidR="0045178E" w:rsidRPr="0045178E">
        <w:rPr>
          <w:b/>
        </w:rPr>
        <w:t>ract</w:t>
      </w:r>
      <w:proofErr w:type="gramStart"/>
      <w:r w:rsidR="0045178E" w:rsidRPr="0045178E">
        <w:rPr>
          <w:b/>
        </w:rPr>
        <w:t>:</w:t>
      </w:r>
      <w:r w:rsidR="006F62BD" w:rsidRPr="00C845F3">
        <w:t>One</w:t>
      </w:r>
      <w:proofErr w:type="spellEnd"/>
      <w:proofErr w:type="gramEnd"/>
      <w:r w:rsidR="006F62BD" w:rsidRPr="00C845F3">
        <w:t xml:space="preserve"> of the concrete efforts made by the </w:t>
      </w:r>
      <w:r w:rsidR="006F62BD">
        <w:t xml:space="preserve">Indonesian </w:t>
      </w:r>
      <w:r w:rsidR="006F62BD" w:rsidRPr="00C845F3">
        <w:t>government is through social forestry policy</w:t>
      </w:r>
      <w:r w:rsidR="006D2D0C">
        <w:t xml:space="preserve"> as a </w:t>
      </w:r>
      <w:r w:rsidR="006D2D0C" w:rsidRPr="00BB78D6">
        <w:t>trigger for land conflicts</w:t>
      </w:r>
      <w:r w:rsidR="006F62BD">
        <w:t xml:space="preserve">. </w:t>
      </w:r>
      <w:r w:rsidR="006F62BD" w:rsidRPr="006670BF">
        <w:rPr>
          <w:lang w:val="id-ID"/>
        </w:rPr>
        <w:t>One area that has implemented a pattern of social forestry is a forest area located in the management area of ​​the</w:t>
      </w:r>
      <w:r w:rsidR="006F62BD">
        <w:t xml:space="preserve"> Regional</w:t>
      </w:r>
      <w:r w:rsidR="006F62BD" w:rsidRPr="006670BF">
        <w:rPr>
          <w:lang w:val="id-ID"/>
        </w:rPr>
        <w:t xml:space="preserve"> Technical Implementation Unit</w:t>
      </w:r>
      <w:r w:rsidR="006F62BD">
        <w:t xml:space="preserve">(UPTD) </w:t>
      </w:r>
      <w:r w:rsidR="006F62BD" w:rsidRPr="006670BF">
        <w:rPr>
          <w:lang w:val="id-ID"/>
        </w:rPr>
        <w:t>KPHRegion I Meranti located in Musi Banyuasin Regency</w:t>
      </w:r>
      <w:r w:rsidR="006F62BD">
        <w:t xml:space="preserve">. </w:t>
      </w:r>
      <w:r w:rsidR="00044D25">
        <w:t>O</w:t>
      </w:r>
      <w:r w:rsidR="006F62BD" w:rsidRPr="00356B60">
        <w:rPr>
          <w:lang w:val="id-ID"/>
        </w:rPr>
        <w:t>nly 3 social forestry scheme permits have been issued</w:t>
      </w:r>
      <w:r w:rsidR="006F62BD">
        <w:t xml:space="preserve">. </w:t>
      </w:r>
      <w:r w:rsidR="006F62BD" w:rsidRPr="00356B60">
        <w:rPr>
          <w:lang w:val="id-ID"/>
        </w:rPr>
        <w:t xml:space="preserve">So the </w:t>
      </w:r>
      <w:r w:rsidR="006F62BD">
        <w:t>aims</w:t>
      </w:r>
      <w:r w:rsidR="006F62BD" w:rsidRPr="00356B60">
        <w:rPr>
          <w:lang w:val="id-ID"/>
        </w:rPr>
        <w:t xml:space="preserve"> of this study was to find out and analyze the process of implementing social forestry policy and analyze the factors that influence</w:t>
      </w:r>
      <w:r w:rsidR="006F62BD">
        <w:t xml:space="preserve">. </w:t>
      </w:r>
      <w:r w:rsidR="006F62BD" w:rsidRPr="006760DD">
        <w:t xml:space="preserve">The study was conducted in </w:t>
      </w:r>
      <w:proofErr w:type="spellStart"/>
      <w:r w:rsidR="006F62BD" w:rsidRPr="006760DD">
        <w:t>Pangkalan</w:t>
      </w:r>
      <w:proofErr w:type="spellEnd"/>
      <w:r w:rsidR="006F62BD" w:rsidRPr="006760DD">
        <w:t xml:space="preserve"> </w:t>
      </w:r>
      <w:proofErr w:type="spellStart"/>
      <w:r w:rsidR="006F62BD" w:rsidRPr="006760DD">
        <w:t>Bulian</w:t>
      </w:r>
      <w:proofErr w:type="spellEnd"/>
      <w:r w:rsidR="006F62BD" w:rsidRPr="006760DD">
        <w:t xml:space="preserve"> and </w:t>
      </w:r>
      <w:proofErr w:type="spellStart"/>
      <w:r w:rsidR="006F62BD" w:rsidRPr="006760DD">
        <w:t>Lubuk</w:t>
      </w:r>
      <w:proofErr w:type="spellEnd"/>
      <w:r w:rsidR="006F62BD" w:rsidRPr="006760DD">
        <w:t xml:space="preserve"> </w:t>
      </w:r>
      <w:proofErr w:type="spellStart"/>
      <w:r w:rsidR="006F62BD" w:rsidRPr="006760DD">
        <w:t>Bintialo</w:t>
      </w:r>
      <w:proofErr w:type="spellEnd"/>
      <w:r w:rsidR="006F62BD" w:rsidRPr="006760DD">
        <w:t xml:space="preserve"> Villages, </w:t>
      </w:r>
      <w:proofErr w:type="spellStart"/>
      <w:r w:rsidR="006F62BD" w:rsidRPr="006760DD">
        <w:t>Batang</w:t>
      </w:r>
      <w:proofErr w:type="spellEnd"/>
      <w:r w:rsidR="006F62BD" w:rsidRPr="006760DD">
        <w:t xml:space="preserve"> </w:t>
      </w:r>
      <w:proofErr w:type="spellStart"/>
      <w:r w:rsidR="006F62BD" w:rsidRPr="006760DD">
        <w:t>Hari</w:t>
      </w:r>
      <w:proofErr w:type="spellEnd"/>
      <w:r w:rsidR="006F62BD" w:rsidRPr="006760DD">
        <w:t xml:space="preserve"> </w:t>
      </w:r>
      <w:proofErr w:type="spellStart"/>
      <w:r w:rsidR="006F62BD" w:rsidRPr="006760DD">
        <w:t>Leko</w:t>
      </w:r>
      <w:proofErr w:type="spellEnd"/>
      <w:r w:rsidR="006F62BD" w:rsidRPr="006760DD">
        <w:t xml:space="preserve"> District, </w:t>
      </w:r>
      <w:proofErr w:type="spellStart"/>
      <w:r w:rsidR="006F62BD" w:rsidRPr="006760DD">
        <w:t>Musi</w:t>
      </w:r>
      <w:proofErr w:type="spellEnd"/>
      <w:r w:rsidR="006F62BD" w:rsidRPr="006760DD">
        <w:t xml:space="preserve"> </w:t>
      </w:r>
      <w:proofErr w:type="spellStart"/>
      <w:r w:rsidR="006F62BD" w:rsidRPr="006760DD">
        <w:t>Banyuasin</w:t>
      </w:r>
      <w:proofErr w:type="spellEnd"/>
      <w:r w:rsidR="006F62BD" w:rsidRPr="006760DD">
        <w:t xml:space="preserve"> Regency, South Sumatra Province</w:t>
      </w:r>
      <w:r w:rsidR="006F62BD">
        <w:t xml:space="preserve">. </w:t>
      </w:r>
      <w:r w:rsidR="006F62BD" w:rsidRPr="00DC4C48">
        <w:t>Used descriptive method combined (mixed methods) from two different approaches namely quantitative or qualitative approaches</w:t>
      </w:r>
      <w:r w:rsidR="006F62BD">
        <w:t xml:space="preserve">. </w:t>
      </w:r>
      <w:r w:rsidR="006F62BD" w:rsidRPr="00DF2DBA">
        <w:rPr>
          <w:lang w:val="id-ID" w:eastAsia="zh-CN"/>
        </w:rPr>
        <w:t>Funding and staff resources (human resources) are still lacking</w:t>
      </w:r>
      <w:r w:rsidR="006F62BD">
        <w:rPr>
          <w:lang w:eastAsia="zh-CN"/>
        </w:rPr>
        <w:t>.</w:t>
      </w:r>
      <w:r w:rsidR="006F62BD" w:rsidRPr="00DF2DBA">
        <w:rPr>
          <w:lang w:val="id-ID" w:eastAsia="zh-CN"/>
        </w:rPr>
        <w:t xml:space="preserve"> The process of collective action between actors is running well with the existence of a committed PPS Working Group. Technical rules are clear with the existence of SOPs that are derived from the rules of government and local government.Communication goes well between communities (</w:t>
      </w:r>
      <w:r w:rsidR="006F62BD">
        <w:rPr>
          <w:lang w:eastAsia="zh-CN"/>
        </w:rPr>
        <w:t>Forest farmer groups</w:t>
      </w:r>
      <w:r w:rsidR="006F62BD" w:rsidRPr="00DF2DBA">
        <w:rPr>
          <w:lang w:val="id-ID" w:eastAsia="zh-CN"/>
        </w:rPr>
        <w:t xml:space="preserve"> and cooperative members) - local government and </w:t>
      </w:r>
      <w:r w:rsidR="006F62BD">
        <w:rPr>
          <w:lang w:eastAsia="zh-CN"/>
        </w:rPr>
        <w:t>facilitator</w:t>
      </w:r>
      <w:r w:rsidR="006F62BD" w:rsidRPr="00DF2DBA">
        <w:rPr>
          <w:lang w:val="id-ID" w:eastAsia="zh-CN"/>
        </w:rPr>
        <w:t>s, but not so well between government structures (village heads and apparatus and local government</w:t>
      </w:r>
      <w:r w:rsidR="006F62BD">
        <w:rPr>
          <w:lang w:eastAsia="zh-CN"/>
        </w:rPr>
        <w:t>.</w:t>
      </w:r>
      <w:r w:rsidR="00005E02" w:rsidRPr="008F2B05">
        <w:t xml:space="preserve">The Social forestry policy in </w:t>
      </w:r>
      <w:proofErr w:type="spellStart"/>
      <w:r w:rsidR="00005E02" w:rsidRPr="008F2B05">
        <w:t>Musi</w:t>
      </w:r>
      <w:proofErr w:type="spellEnd"/>
      <w:r w:rsidR="00005E02" w:rsidRPr="008F2B05">
        <w:t xml:space="preserve"> </w:t>
      </w:r>
      <w:proofErr w:type="spellStart"/>
      <w:r w:rsidR="00005E02" w:rsidRPr="008F2B05">
        <w:t>Banyuasin</w:t>
      </w:r>
      <w:proofErr w:type="spellEnd"/>
      <w:r w:rsidR="00005E02" w:rsidRPr="008F2B05">
        <w:t xml:space="preserve"> District, South Sumatra has been effectively implemented from the perspective of policy accuracy in resolving forestry problems and environmental accuracy in accepting policies</w:t>
      </w:r>
      <w:r w:rsidR="00005E02">
        <w:t>.</w:t>
      </w:r>
    </w:p>
    <w:p w:rsidR="0045178E" w:rsidRDefault="0045178E" w:rsidP="0045178E">
      <w:pPr>
        <w:ind w:firstLine="0"/>
      </w:pPr>
      <w:r>
        <w:t xml:space="preserve">Keywords: </w:t>
      </w:r>
      <w:r w:rsidR="00302E9D">
        <w:t xml:space="preserve">social forestry, protected forest, </w:t>
      </w:r>
      <w:proofErr w:type="spellStart"/>
      <w:r w:rsidR="00302E9D">
        <w:t>lubuk</w:t>
      </w:r>
      <w:proofErr w:type="spellEnd"/>
      <w:r w:rsidR="00302E9D">
        <w:t xml:space="preserve"> </w:t>
      </w:r>
      <w:proofErr w:type="spellStart"/>
      <w:r w:rsidR="00302E9D">
        <w:t>bintialo</w:t>
      </w:r>
      <w:proofErr w:type="spellEnd"/>
      <w:r w:rsidR="00302E9D">
        <w:t xml:space="preserve">, </w:t>
      </w:r>
      <w:proofErr w:type="spellStart"/>
      <w:r w:rsidR="00302E9D">
        <w:t>pangkalan</w:t>
      </w:r>
      <w:proofErr w:type="spellEnd"/>
      <w:r w:rsidR="00302E9D">
        <w:t xml:space="preserve"> </w:t>
      </w:r>
      <w:proofErr w:type="spellStart"/>
      <w:r w:rsidR="00302E9D">
        <w:t>bulian</w:t>
      </w:r>
      <w:proofErr w:type="spellEnd"/>
    </w:p>
    <w:p w:rsidR="0045178E" w:rsidRDefault="0045178E" w:rsidP="0045178E">
      <w:pPr>
        <w:ind w:firstLine="0"/>
      </w:pPr>
    </w:p>
    <w:p w:rsidR="0045178E" w:rsidRPr="0045178E" w:rsidRDefault="0045178E" w:rsidP="0045178E">
      <w:pPr>
        <w:ind w:firstLine="0"/>
        <w:rPr>
          <w:b/>
        </w:rPr>
      </w:pPr>
      <w:proofErr w:type="spellStart"/>
      <w:r w:rsidRPr="0045178E">
        <w:rPr>
          <w:b/>
        </w:rPr>
        <w:t>Abstrak</w:t>
      </w:r>
      <w:proofErr w:type="spellEnd"/>
      <w:r w:rsidRPr="0045178E">
        <w:rPr>
          <w:b/>
        </w:rPr>
        <w:t xml:space="preserve"> (Indonesian): </w:t>
      </w:r>
      <w:proofErr w:type="spellStart"/>
      <w:r w:rsidR="006D2D0C" w:rsidRPr="006D2D0C">
        <w:t>Salah</w:t>
      </w:r>
      <w:proofErr w:type="spellEnd"/>
      <w:r w:rsidR="006D2D0C" w:rsidRPr="006D2D0C">
        <w:t xml:space="preserve"> </w:t>
      </w:r>
      <w:proofErr w:type="spellStart"/>
      <w:r w:rsidR="006D2D0C" w:rsidRPr="006D2D0C">
        <w:t>satu</w:t>
      </w:r>
      <w:proofErr w:type="spellEnd"/>
      <w:r w:rsidR="006D2D0C" w:rsidRPr="006D2D0C">
        <w:t xml:space="preserve"> </w:t>
      </w:r>
      <w:proofErr w:type="spellStart"/>
      <w:r w:rsidR="006D2D0C" w:rsidRPr="006D2D0C">
        <w:t>upaya</w:t>
      </w:r>
      <w:proofErr w:type="spellEnd"/>
      <w:r w:rsidR="006D2D0C" w:rsidRPr="006D2D0C">
        <w:t xml:space="preserve"> </w:t>
      </w:r>
      <w:proofErr w:type="spellStart"/>
      <w:r w:rsidR="006D2D0C" w:rsidRPr="006D2D0C">
        <w:t>nyata</w:t>
      </w:r>
      <w:proofErr w:type="spellEnd"/>
      <w:r w:rsidR="006D2D0C" w:rsidRPr="006D2D0C">
        <w:t xml:space="preserve"> yang </w:t>
      </w:r>
      <w:proofErr w:type="spellStart"/>
      <w:r w:rsidR="006D2D0C" w:rsidRPr="006D2D0C">
        <w:t>dilakukan</w:t>
      </w:r>
      <w:proofErr w:type="spellEnd"/>
      <w:r w:rsidR="006D2D0C" w:rsidRPr="006D2D0C">
        <w:t xml:space="preserve"> </w:t>
      </w:r>
      <w:proofErr w:type="spellStart"/>
      <w:r w:rsidR="006D2D0C" w:rsidRPr="006D2D0C">
        <w:t>oleh</w:t>
      </w:r>
      <w:proofErr w:type="spellEnd"/>
      <w:r w:rsidR="006D2D0C" w:rsidRPr="006D2D0C">
        <w:t xml:space="preserve"> </w:t>
      </w:r>
      <w:proofErr w:type="spellStart"/>
      <w:r w:rsidR="006D2D0C" w:rsidRPr="006D2D0C">
        <w:t>pemerintah</w:t>
      </w:r>
      <w:proofErr w:type="spellEnd"/>
      <w:r w:rsidR="006D2D0C" w:rsidRPr="006D2D0C">
        <w:t xml:space="preserve"> Indonesia </w:t>
      </w:r>
      <w:proofErr w:type="spellStart"/>
      <w:r w:rsidR="006D2D0C" w:rsidRPr="006D2D0C">
        <w:t>adalah</w:t>
      </w:r>
      <w:proofErr w:type="spellEnd"/>
      <w:r w:rsidR="006D2D0C" w:rsidRPr="006D2D0C">
        <w:t xml:space="preserve"> </w:t>
      </w:r>
      <w:proofErr w:type="spellStart"/>
      <w:r w:rsidR="006D2D0C" w:rsidRPr="006D2D0C">
        <w:t>melalui</w:t>
      </w:r>
      <w:proofErr w:type="spellEnd"/>
      <w:r w:rsidR="006D2D0C" w:rsidRPr="006D2D0C">
        <w:t xml:space="preserve"> </w:t>
      </w:r>
      <w:proofErr w:type="spellStart"/>
      <w:r w:rsidR="006D2D0C" w:rsidRPr="006D2D0C">
        <w:t>kebijakan</w:t>
      </w:r>
      <w:proofErr w:type="spellEnd"/>
      <w:r w:rsidR="006D2D0C" w:rsidRPr="006D2D0C">
        <w:t xml:space="preserve"> </w:t>
      </w:r>
      <w:proofErr w:type="spellStart"/>
      <w:r w:rsidR="006D2D0C" w:rsidRPr="006D2D0C">
        <w:t>kehutanan</w:t>
      </w:r>
      <w:proofErr w:type="spellEnd"/>
      <w:r w:rsidR="006D2D0C" w:rsidRPr="006D2D0C">
        <w:t xml:space="preserve"> </w:t>
      </w:r>
      <w:proofErr w:type="spellStart"/>
      <w:r w:rsidR="006D2D0C" w:rsidRPr="006D2D0C">
        <w:t>sosial</w:t>
      </w:r>
      <w:proofErr w:type="spellEnd"/>
      <w:r w:rsidR="006D2D0C" w:rsidRPr="006D2D0C">
        <w:t xml:space="preserve"> </w:t>
      </w:r>
      <w:proofErr w:type="spellStart"/>
      <w:r w:rsidR="006D2D0C" w:rsidRPr="006D2D0C">
        <w:t>sebagai</w:t>
      </w:r>
      <w:proofErr w:type="spellEnd"/>
      <w:r w:rsidR="006D2D0C" w:rsidRPr="006D2D0C">
        <w:t xml:space="preserve"> </w:t>
      </w:r>
      <w:proofErr w:type="spellStart"/>
      <w:r w:rsidR="006D2D0C" w:rsidRPr="006D2D0C">
        <w:t>solusi</w:t>
      </w:r>
      <w:proofErr w:type="spellEnd"/>
      <w:r w:rsidR="006D2D0C" w:rsidRPr="006D2D0C">
        <w:t xml:space="preserve"> </w:t>
      </w:r>
      <w:proofErr w:type="spellStart"/>
      <w:r w:rsidR="006D2D0C" w:rsidRPr="006D2D0C">
        <w:t>untuk</w:t>
      </w:r>
      <w:proofErr w:type="spellEnd"/>
      <w:r w:rsidR="006D2D0C" w:rsidRPr="006D2D0C">
        <w:t xml:space="preserve"> </w:t>
      </w:r>
      <w:proofErr w:type="spellStart"/>
      <w:r w:rsidR="006D2D0C" w:rsidRPr="006D2D0C">
        <w:t>konflik</w:t>
      </w:r>
      <w:proofErr w:type="spellEnd"/>
      <w:r w:rsidR="006D2D0C" w:rsidRPr="006D2D0C">
        <w:t xml:space="preserve"> </w:t>
      </w:r>
      <w:proofErr w:type="spellStart"/>
      <w:r w:rsidR="006D2D0C" w:rsidRPr="006D2D0C">
        <w:t>tanah</w:t>
      </w:r>
      <w:proofErr w:type="spellEnd"/>
      <w:r w:rsidR="006D2D0C" w:rsidRPr="006D2D0C">
        <w:t xml:space="preserve">. </w:t>
      </w:r>
      <w:proofErr w:type="spellStart"/>
      <w:proofErr w:type="gramStart"/>
      <w:r w:rsidR="006D2D0C" w:rsidRPr="006D2D0C">
        <w:t>Salah</w:t>
      </w:r>
      <w:proofErr w:type="spellEnd"/>
      <w:r w:rsidR="006D2D0C" w:rsidRPr="006D2D0C">
        <w:t xml:space="preserve"> </w:t>
      </w:r>
      <w:proofErr w:type="spellStart"/>
      <w:r w:rsidR="006D2D0C" w:rsidRPr="006D2D0C">
        <w:t>satu</w:t>
      </w:r>
      <w:proofErr w:type="spellEnd"/>
      <w:r w:rsidR="006D2D0C" w:rsidRPr="006D2D0C">
        <w:t xml:space="preserve"> </w:t>
      </w:r>
      <w:proofErr w:type="spellStart"/>
      <w:r w:rsidR="006D2D0C" w:rsidRPr="006D2D0C">
        <w:t>daerah</w:t>
      </w:r>
      <w:proofErr w:type="spellEnd"/>
      <w:r w:rsidR="006D2D0C" w:rsidRPr="006D2D0C">
        <w:t xml:space="preserve"> yang </w:t>
      </w:r>
      <w:proofErr w:type="spellStart"/>
      <w:r w:rsidR="006D2D0C" w:rsidRPr="006D2D0C">
        <w:t>telah</w:t>
      </w:r>
      <w:proofErr w:type="spellEnd"/>
      <w:r w:rsidR="006D2D0C" w:rsidRPr="006D2D0C">
        <w:t xml:space="preserve"> </w:t>
      </w:r>
      <w:proofErr w:type="spellStart"/>
      <w:r w:rsidR="006D2D0C" w:rsidRPr="006D2D0C">
        <w:t>menerapkan</w:t>
      </w:r>
      <w:proofErr w:type="spellEnd"/>
      <w:r w:rsidR="006D2D0C" w:rsidRPr="006D2D0C">
        <w:t xml:space="preserve"> </w:t>
      </w:r>
      <w:proofErr w:type="spellStart"/>
      <w:r w:rsidR="006D2D0C" w:rsidRPr="006D2D0C">
        <w:t>pola</w:t>
      </w:r>
      <w:proofErr w:type="spellEnd"/>
      <w:r w:rsidR="006D2D0C" w:rsidRPr="006D2D0C">
        <w:t xml:space="preserve"> </w:t>
      </w:r>
      <w:proofErr w:type="spellStart"/>
      <w:r w:rsidR="006D2D0C" w:rsidRPr="006D2D0C">
        <w:t>perhutanan</w:t>
      </w:r>
      <w:proofErr w:type="spellEnd"/>
      <w:r w:rsidR="006D2D0C" w:rsidRPr="006D2D0C">
        <w:t xml:space="preserve"> </w:t>
      </w:r>
      <w:proofErr w:type="spellStart"/>
      <w:r w:rsidR="006D2D0C" w:rsidRPr="006D2D0C">
        <w:t>sosial</w:t>
      </w:r>
      <w:proofErr w:type="spellEnd"/>
      <w:r w:rsidR="006D2D0C" w:rsidRPr="006D2D0C">
        <w:t xml:space="preserve"> </w:t>
      </w:r>
      <w:proofErr w:type="spellStart"/>
      <w:r w:rsidR="006D2D0C" w:rsidRPr="006D2D0C">
        <w:t>adalah</w:t>
      </w:r>
      <w:proofErr w:type="spellEnd"/>
      <w:r w:rsidR="006D2D0C" w:rsidRPr="006D2D0C">
        <w:t xml:space="preserve"> </w:t>
      </w:r>
      <w:proofErr w:type="spellStart"/>
      <w:r w:rsidR="006D2D0C" w:rsidRPr="006D2D0C">
        <w:t>kawasan</w:t>
      </w:r>
      <w:proofErr w:type="spellEnd"/>
      <w:r w:rsidR="006D2D0C" w:rsidRPr="006D2D0C">
        <w:t xml:space="preserve"> </w:t>
      </w:r>
      <w:proofErr w:type="spellStart"/>
      <w:r w:rsidR="006D2D0C" w:rsidRPr="006D2D0C">
        <w:t>hutan</w:t>
      </w:r>
      <w:proofErr w:type="spellEnd"/>
      <w:r w:rsidR="006D2D0C" w:rsidRPr="006D2D0C">
        <w:t xml:space="preserve"> yang </w:t>
      </w:r>
      <w:proofErr w:type="spellStart"/>
      <w:r w:rsidR="006D2D0C" w:rsidRPr="006D2D0C">
        <w:t>berada</w:t>
      </w:r>
      <w:proofErr w:type="spellEnd"/>
      <w:r w:rsidR="006D2D0C" w:rsidRPr="006D2D0C">
        <w:t xml:space="preserve"> </w:t>
      </w:r>
      <w:proofErr w:type="spellStart"/>
      <w:r w:rsidR="006D2D0C" w:rsidRPr="006D2D0C">
        <w:t>di</w:t>
      </w:r>
      <w:proofErr w:type="spellEnd"/>
      <w:r w:rsidR="006D2D0C" w:rsidRPr="006D2D0C">
        <w:t xml:space="preserve"> </w:t>
      </w:r>
      <w:proofErr w:type="spellStart"/>
      <w:r w:rsidR="006D2D0C" w:rsidRPr="006D2D0C">
        <w:t>wilayah</w:t>
      </w:r>
      <w:proofErr w:type="spellEnd"/>
      <w:r w:rsidR="006D2D0C" w:rsidRPr="006D2D0C">
        <w:t xml:space="preserve"> </w:t>
      </w:r>
      <w:proofErr w:type="spellStart"/>
      <w:r w:rsidR="006D2D0C" w:rsidRPr="006D2D0C">
        <w:t>pengelolaan</w:t>
      </w:r>
      <w:proofErr w:type="spellEnd"/>
      <w:r w:rsidR="006D2D0C" w:rsidRPr="006D2D0C">
        <w:t xml:space="preserve"> Unit </w:t>
      </w:r>
      <w:proofErr w:type="spellStart"/>
      <w:r w:rsidR="006D2D0C" w:rsidRPr="006D2D0C">
        <w:t>Pelaksana</w:t>
      </w:r>
      <w:proofErr w:type="spellEnd"/>
      <w:r w:rsidR="006D2D0C" w:rsidRPr="006D2D0C">
        <w:t xml:space="preserve"> </w:t>
      </w:r>
      <w:proofErr w:type="spellStart"/>
      <w:r w:rsidR="006D2D0C" w:rsidRPr="006D2D0C">
        <w:t>Teknis</w:t>
      </w:r>
      <w:proofErr w:type="spellEnd"/>
      <w:r w:rsidR="006D2D0C" w:rsidRPr="006D2D0C">
        <w:t xml:space="preserve"> Daerah (UPTD) KPH Wilayah I </w:t>
      </w:r>
      <w:proofErr w:type="spellStart"/>
      <w:r w:rsidR="006D2D0C" w:rsidRPr="006D2D0C">
        <w:t>Meranti</w:t>
      </w:r>
      <w:proofErr w:type="spellEnd"/>
      <w:r w:rsidR="006D2D0C" w:rsidRPr="006D2D0C">
        <w:t xml:space="preserve"> yang </w:t>
      </w:r>
      <w:proofErr w:type="spellStart"/>
      <w:r w:rsidR="006D2D0C" w:rsidRPr="006D2D0C">
        <w:t>berlokasi</w:t>
      </w:r>
      <w:proofErr w:type="spellEnd"/>
      <w:r w:rsidR="006D2D0C" w:rsidRPr="006D2D0C">
        <w:t xml:space="preserve"> </w:t>
      </w:r>
      <w:proofErr w:type="spellStart"/>
      <w:r w:rsidR="006D2D0C" w:rsidRPr="006D2D0C">
        <w:t>di</w:t>
      </w:r>
      <w:proofErr w:type="spellEnd"/>
      <w:r w:rsidR="006D2D0C" w:rsidRPr="006D2D0C">
        <w:t xml:space="preserve"> </w:t>
      </w:r>
      <w:proofErr w:type="spellStart"/>
      <w:r w:rsidR="006D2D0C" w:rsidRPr="006D2D0C">
        <w:t>Kabupaten</w:t>
      </w:r>
      <w:proofErr w:type="spellEnd"/>
      <w:r w:rsidR="006D2D0C" w:rsidRPr="006D2D0C">
        <w:t xml:space="preserve"> </w:t>
      </w:r>
      <w:proofErr w:type="spellStart"/>
      <w:r w:rsidR="006D2D0C" w:rsidRPr="006D2D0C">
        <w:t>Musi</w:t>
      </w:r>
      <w:proofErr w:type="spellEnd"/>
      <w:r w:rsidR="006D2D0C" w:rsidRPr="006D2D0C">
        <w:t xml:space="preserve"> </w:t>
      </w:r>
      <w:proofErr w:type="spellStart"/>
      <w:r w:rsidR="006D2D0C" w:rsidRPr="006D2D0C">
        <w:t>Banyuasin</w:t>
      </w:r>
      <w:proofErr w:type="spellEnd"/>
      <w:r w:rsidR="006D2D0C" w:rsidRPr="006D2D0C">
        <w:t>.</w:t>
      </w:r>
      <w:proofErr w:type="gramEnd"/>
      <w:r w:rsidR="006D2D0C" w:rsidRPr="006D2D0C">
        <w:t xml:space="preserve"> </w:t>
      </w:r>
      <w:proofErr w:type="spellStart"/>
      <w:proofErr w:type="gramStart"/>
      <w:r w:rsidR="006D2D0C" w:rsidRPr="006D2D0C">
        <w:t>Hanya</w:t>
      </w:r>
      <w:proofErr w:type="spellEnd"/>
      <w:r w:rsidR="006D2D0C" w:rsidRPr="006D2D0C">
        <w:t xml:space="preserve"> 3 </w:t>
      </w:r>
      <w:proofErr w:type="spellStart"/>
      <w:r w:rsidR="006D2D0C" w:rsidRPr="006D2D0C">
        <w:t>izin</w:t>
      </w:r>
      <w:proofErr w:type="spellEnd"/>
      <w:r w:rsidR="006D2D0C" w:rsidRPr="006D2D0C">
        <w:t xml:space="preserve"> </w:t>
      </w:r>
      <w:proofErr w:type="spellStart"/>
      <w:r w:rsidR="006D2D0C" w:rsidRPr="006D2D0C">
        <w:t>skema</w:t>
      </w:r>
      <w:proofErr w:type="spellEnd"/>
      <w:r w:rsidR="006D2D0C" w:rsidRPr="006D2D0C">
        <w:t xml:space="preserve"> </w:t>
      </w:r>
      <w:proofErr w:type="spellStart"/>
      <w:r w:rsidR="006D2D0C" w:rsidRPr="006D2D0C">
        <w:t>kehutanan</w:t>
      </w:r>
      <w:proofErr w:type="spellEnd"/>
      <w:r w:rsidR="006D2D0C" w:rsidRPr="006D2D0C">
        <w:t xml:space="preserve"> </w:t>
      </w:r>
      <w:proofErr w:type="spellStart"/>
      <w:r w:rsidR="006D2D0C" w:rsidRPr="006D2D0C">
        <w:t>sosial</w:t>
      </w:r>
      <w:proofErr w:type="spellEnd"/>
      <w:r w:rsidR="006D2D0C" w:rsidRPr="006D2D0C">
        <w:t xml:space="preserve"> yang </w:t>
      </w:r>
      <w:proofErr w:type="spellStart"/>
      <w:r w:rsidR="006D2D0C" w:rsidRPr="006D2D0C">
        <w:t>telah</w:t>
      </w:r>
      <w:proofErr w:type="spellEnd"/>
      <w:r w:rsidR="006D2D0C" w:rsidRPr="006D2D0C">
        <w:t xml:space="preserve"> </w:t>
      </w:r>
      <w:proofErr w:type="spellStart"/>
      <w:r w:rsidR="006D2D0C" w:rsidRPr="006D2D0C">
        <w:t>dikeluarkan</w:t>
      </w:r>
      <w:proofErr w:type="spellEnd"/>
      <w:r w:rsidR="006D2D0C" w:rsidRPr="006D2D0C">
        <w:t>.</w:t>
      </w:r>
      <w:proofErr w:type="gramEnd"/>
      <w:r w:rsidR="006D2D0C" w:rsidRPr="006D2D0C">
        <w:t xml:space="preserve"> </w:t>
      </w:r>
      <w:proofErr w:type="spellStart"/>
      <w:r w:rsidR="006D2D0C" w:rsidRPr="006D2D0C">
        <w:t>Jadi</w:t>
      </w:r>
      <w:proofErr w:type="spellEnd"/>
      <w:r w:rsidR="006D2D0C" w:rsidRPr="006D2D0C">
        <w:t xml:space="preserve"> </w:t>
      </w:r>
      <w:proofErr w:type="spellStart"/>
      <w:r w:rsidR="006D2D0C" w:rsidRPr="006D2D0C">
        <w:t>tujuan</w:t>
      </w:r>
      <w:proofErr w:type="spellEnd"/>
      <w:r w:rsidR="006D2D0C" w:rsidRPr="006D2D0C">
        <w:t xml:space="preserve"> </w:t>
      </w:r>
      <w:proofErr w:type="spellStart"/>
      <w:r w:rsidR="006D2D0C" w:rsidRPr="006D2D0C">
        <w:t>dari</w:t>
      </w:r>
      <w:proofErr w:type="spellEnd"/>
      <w:r w:rsidR="006D2D0C" w:rsidRPr="006D2D0C">
        <w:t xml:space="preserve"> </w:t>
      </w:r>
      <w:proofErr w:type="spellStart"/>
      <w:r w:rsidR="006D2D0C" w:rsidRPr="006D2D0C">
        <w:t>penelitian</w:t>
      </w:r>
      <w:proofErr w:type="spellEnd"/>
      <w:r w:rsidR="006D2D0C" w:rsidRPr="006D2D0C">
        <w:t xml:space="preserve"> </w:t>
      </w:r>
      <w:proofErr w:type="spellStart"/>
      <w:r w:rsidR="006D2D0C" w:rsidRPr="006D2D0C">
        <w:t>ini</w:t>
      </w:r>
      <w:proofErr w:type="spellEnd"/>
      <w:r w:rsidR="006D2D0C" w:rsidRPr="006D2D0C">
        <w:t xml:space="preserve"> </w:t>
      </w:r>
      <w:proofErr w:type="spellStart"/>
      <w:r w:rsidR="006D2D0C" w:rsidRPr="006D2D0C">
        <w:t>adalah</w:t>
      </w:r>
      <w:proofErr w:type="spellEnd"/>
      <w:r w:rsidR="006D2D0C" w:rsidRPr="006D2D0C">
        <w:t xml:space="preserve"> </w:t>
      </w:r>
      <w:proofErr w:type="spellStart"/>
      <w:r w:rsidR="006D2D0C" w:rsidRPr="006D2D0C">
        <w:t>untuk</w:t>
      </w:r>
      <w:proofErr w:type="spellEnd"/>
      <w:r w:rsidR="006D2D0C" w:rsidRPr="006D2D0C">
        <w:t xml:space="preserve"> </w:t>
      </w:r>
      <w:proofErr w:type="spellStart"/>
      <w:r w:rsidR="006D2D0C" w:rsidRPr="006D2D0C">
        <w:t>mengetahui</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menganalisis</w:t>
      </w:r>
      <w:proofErr w:type="spellEnd"/>
      <w:r w:rsidR="006D2D0C" w:rsidRPr="006D2D0C">
        <w:t xml:space="preserve"> </w:t>
      </w:r>
      <w:proofErr w:type="spellStart"/>
      <w:r w:rsidR="006D2D0C" w:rsidRPr="006D2D0C">
        <w:t>proses</w:t>
      </w:r>
      <w:proofErr w:type="spellEnd"/>
      <w:r w:rsidR="006D2D0C" w:rsidRPr="006D2D0C">
        <w:t xml:space="preserve"> </w:t>
      </w:r>
      <w:proofErr w:type="spellStart"/>
      <w:r w:rsidR="006D2D0C" w:rsidRPr="006D2D0C">
        <w:t>penerapan</w:t>
      </w:r>
      <w:proofErr w:type="spellEnd"/>
      <w:r w:rsidR="006D2D0C" w:rsidRPr="006D2D0C">
        <w:t xml:space="preserve"> </w:t>
      </w:r>
      <w:proofErr w:type="spellStart"/>
      <w:r w:rsidR="006D2D0C" w:rsidRPr="006D2D0C">
        <w:t>kebijakan</w:t>
      </w:r>
      <w:proofErr w:type="spellEnd"/>
      <w:r w:rsidR="006D2D0C" w:rsidRPr="006D2D0C">
        <w:t xml:space="preserve"> </w:t>
      </w:r>
      <w:proofErr w:type="spellStart"/>
      <w:r w:rsidR="006D2D0C" w:rsidRPr="006D2D0C">
        <w:t>kehutanan</w:t>
      </w:r>
      <w:proofErr w:type="spellEnd"/>
      <w:r w:rsidR="006D2D0C" w:rsidRPr="006D2D0C">
        <w:t xml:space="preserve"> </w:t>
      </w:r>
      <w:proofErr w:type="spellStart"/>
      <w:r w:rsidR="006D2D0C" w:rsidRPr="006D2D0C">
        <w:t>sosial</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menganalisis</w:t>
      </w:r>
      <w:proofErr w:type="spellEnd"/>
      <w:r w:rsidR="006D2D0C" w:rsidRPr="006D2D0C">
        <w:t xml:space="preserve"> </w:t>
      </w:r>
      <w:proofErr w:type="spellStart"/>
      <w:r w:rsidR="006D2D0C" w:rsidRPr="006D2D0C">
        <w:t>faktor-faktor</w:t>
      </w:r>
      <w:proofErr w:type="spellEnd"/>
      <w:r w:rsidR="006D2D0C" w:rsidRPr="006D2D0C">
        <w:t xml:space="preserve"> yang </w:t>
      </w:r>
      <w:proofErr w:type="spellStart"/>
      <w:r w:rsidR="006D2D0C" w:rsidRPr="006D2D0C">
        <w:t>mempengaruhi</w:t>
      </w:r>
      <w:proofErr w:type="spellEnd"/>
      <w:r w:rsidR="006D2D0C" w:rsidRPr="006D2D0C">
        <w:t xml:space="preserve">. </w:t>
      </w:r>
      <w:proofErr w:type="spellStart"/>
      <w:proofErr w:type="gramStart"/>
      <w:r w:rsidR="006D2D0C" w:rsidRPr="006D2D0C">
        <w:t>Penelitian</w:t>
      </w:r>
      <w:proofErr w:type="spellEnd"/>
      <w:r w:rsidR="006D2D0C" w:rsidRPr="006D2D0C">
        <w:t xml:space="preserve"> </w:t>
      </w:r>
      <w:proofErr w:type="spellStart"/>
      <w:r w:rsidR="006D2D0C" w:rsidRPr="006D2D0C">
        <w:t>dilakukan</w:t>
      </w:r>
      <w:proofErr w:type="spellEnd"/>
      <w:r w:rsidR="006D2D0C" w:rsidRPr="006D2D0C">
        <w:t xml:space="preserve"> </w:t>
      </w:r>
      <w:proofErr w:type="spellStart"/>
      <w:r w:rsidR="006D2D0C" w:rsidRPr="006D2D0C">
        <w:t>di</w:t>
      </w:r>
      <w:proofErr w:type="spellEnd"/>
      <w:r w:rsidR="006D2D0C" w:rsidRPr="006D2D0C">
        <w:t xml:space="preserve"> </w:t>
      </w:r>
      <w:proofErr w:type="spellStart"/>
      <w:r w:rsidR="006D2D0C" w:rsidRPr="006D2D0C">
        <w:t>Desa</w:t>
      </w:r>
      <w:proofErr w:type="spellEnd"/>
      <w:r w:rsidR="006D2D0C" w:rsidRPr="006D2D0C">
        <w:t xml:space="preserve"> </w:t>
      </w:r>
      <w:proofErr w:type="spellStart"/>
      <w:r w:rsidR="006D2D0C" w:rsidRPr="006D2D0C">
        <w:t>Pangkalan</w:t>
      </w:r>
      <w:proofErr w:type="spellEnd"/>
      <w:r w:rsidR="006D2D0C" w:rsidRPr="006D2D0C">
        <w:t xml:space="preserve"> </w:t>
      </w:r>
      <w:proofErr w:type="spellStart"/>
      <w:r w:rsidR="006D2D0C" w:rsidRPr="006D2D0C">
        <w:t>Bulian</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Desa</w:t>
      </w:r>
      <w:proofErr w:type="spellEnd"/>
      <w:r w:rsidR="006D2D0C" w:rsidRPr="006D2D0C">
        <w:t xml:space="preserve"> </w:t>
      </w:r>
      <w:proofErr w:type="spellStart"/>
      <w:r w:rsidR="006D2D0C" w:rsidRPr="006D2D0C">
        <w:t>Lubuk</w:t>
      </w:r>
      <w:proofErr w:type="spellEnd"/>
      <w:r w:rsidR="006D2D0C" w:rsidRPr="006D2D0C">
        <w:t xml:space="preserve"> </w:t>
      </w:r>
      <w:proofErr w:type="spellStart"/>
      <w:r w:rsidR="006D2D0C" w:rsidRPr="006D2D0C">
        <w:t>Bintialo</w:t>
      </w:r>
      <w:proofErr w:type="spellEnd"/>
      <w:r w:rsidR="006D2D0C" w:rsidRPr="006D2D0C">
        <w:t xml:space="preserve">, </w:t>
      </w:r>
      <w:proofErr w:type="spellStart"/>
      <w:r w:rsidR="006D2D0C" w:rsidRPr="006D2D0C">
        <w:t>Kabupaten</w:t>
      </w:r>
      <w:proofErr w:type="spellEnd"/>
      <w:r w:rsidR="006D2D0C" w:rsidRPr="006D2D0C">
        <w:t xml:space="preserve"> </w:t>
      </w:r>
      <w:proofErr w:type="spellStart"/>
      <w:r w:rsidR="006D2D0C" w:rsidRPr="006D2D0C">
        <w:t>Batang</w:t>
      </w:r>
      <w:proofErr w:type="spellEnd"/>
      <w:r w:rsidR="006D2D0C" w:rsidRPr="006D2D0C">
        <w:t xml:space="preserve"> </w:t>
      </w:r>
      <w:proofErr w:type="spellStart"/>
      <w:r w:rsidR="006D2D0C" w:rsidRPr="006D2D0C">
        <w:t>Hari</w:t>
      </w:r>
      <w:proofErr w:type="spellEnd"/>
      <w:r w:rsidR="006D2D0C" w:rsidRPr="006D2D0C">
        <w:t xml:space="preserve"> </w:t>
      </w:r>
      <w:proofErr w:type="spellStart"/>
      <w:r w:rsidR="006D2D0C" w:rsidRPr="006D2D0C">
        <w:t>Leko</w:t>
      </w:r>
      <w:proofErr w:type="spellEnd"/>
      <w:r w:rsidR="006D2D0C" w:rsidRPr="006D2D0C">
        <w:t xml:space="preserve">, </w:t>
      </w:r>
      <w:proofErr w:type="spellStart"/>
      <w:r w:rsidR="006D2D0C" w:rsidRPr="006D2D0C">
        <w:t>Kabupaten</w:t>
      </w:r>
      <w:proofErr w:type="spellEnd"/>
      <w:r w:rsidR="006D2D0C" w:rsidRPr="006D2D0C">
        <w:t xml:space="preserve"> </w:t>
      </w:r>
      <w:proofErr w:type="spellStart"/>
      <w:r w:rsidR="006D2D0C" w:rsidRPr="006D2D0C">
        <w:t>Musi</w:t>
      </w:r>
      <w:proofErr w:type="spellEnd"/>
      <w:r w:rsidR="006D2D0C" w:rsidRPr="006D2D0C">
        <w:t xml:space="preserve"> </w:t>
      </w:r>
      <w:proofErr w:type="spellStart"/>
      <w:r w:rsidR="006D2D0C" w:rsidRPr="006D2D0C">
        <w:t>Banyuasin</w:t>
      </w:r>
      <w:proofErr w:type="spellEnd"/>
      <w:r w:rsidR="006D2D0C" w:rsidRPr="006D2D0C">
        <w:t xml:space="preserve">, </w:t>
      </w:r>
      <w:proofErr w:type="spellStart"/>
      <w:r w:rsidR="006D2D0C" w:rsidRPr="006D2D0C">
        <w:t>Provinsi</w:t>
      </w:r>
      <w:proofErr w:type="spellEnd"/>
      <w:r w:rsidR="006D2D0C" w:rsidRPr="006D2D0C">
        <w:t xml:space="preserve"> Sumatera Selatan.</w:t>
      </w:r>
      <w:proofErr w:type="gramEnd"/>
      <w:r w:rsidR="006D2D0C" w:rsidRPr="006D2D0C">
        <w:t xml:space="preserve"> </w:t>
      </w:r>
      <w:proofErr w:type="spellStart"/>
      <w:proofErr w:type="gramStart"/>
      <w:r w:rsidR="006D2D0C" w:rsidRPr="006D2D0C">
        <w:t>Metode</w:t>
      </w:r>
      <w:proofErr w:type="spellEnd"/>
      <w:r w:rsidR="006D2D0C" w:rsidRPr="006D2D0C">
        <w:t xml:space="preserve"> </w:t>
      </w:r>
      <w:proofErr w:type="spellStart"/>
      <w:r w:rsidR="006D2D0C" w:rsidRPr="006D2D0C">
        <w:t>deskriptif</w:t>
      </w:r>
      <w:proofErr w:type="spellEnd"/>
      <w:r w:rsidR="006D2D0C" w:rsidRPr="006D2D0C">
        <w:t xml:space="preserve"> yang </w:t>
      </w:r>
      <w:proofErr w:type="spellStart"/>
      <w:r w:rsidR="006D2D0C" w:rsidRPr="006D2D0C">
        <w:t>digunakan</w:t>
      </w:r>
      <w:proofErr w:type="spellEnd"/>
      <w:r w:rsidR="006D2D0C" w:rsidRPr="006D2D0C">
        <w:t xml:space="preserve"> </w:t>
      </w:r>
      <w:proofErr w:type="spellStart"/>
      <w:r w:rsidR="006D2D0C" w:rsidRPr="006D2D0C">
        <w:t>dikombinasikan</w:t>
      </w:r>
      <w:proofErr w:type="spellEnd"/>
      <w:r w:rsidR="006D2D0C" w:rsidRPr="006D2D0C">
        <w:t xml:space="preserve"> (</w:t>
      </w:r>
      <w:proofErr w:type="spellStart"/>
      <w:r w:rsidR="006D2D0C" w:rsidRPr="006D2D0C">
        <w:t>metode</w:t>
      </w:r>
      <w:proofErr w:type="spellEnd"/>
      <w:r w:rsidR="006D2D0C" w:rsidRPr="006D2D0C">
        <w:t xml:space="preserve"> </w:t>
      </w:r>
      <w:proofErr w:type="spellStart"/>
      <w:r w:rsidR="006D2D0C" w:rsidRPr="006D2D0C">
        <w:t>campuran</w:t>
      </w:r>
      <w:proofErr w:type="spellEnd"/>
      <w:r w:rsidR="006D2D0C" w:rsidRPr="006D2D0C">
        <w:t xml:space="preserve">) </w:t>
      </w:r>
      <w:proofErr w:type="spellStart"/>
      <w:r w:rsidR="006D2D0C" w:rsidRPr="006D2D0C">
        <w:t>dari</w:t>
      </w:r>
      <w:proofErr w:type="spellEnd"/>
      <w:r w:rsidR="006D2D0C" w:rsidRPr="006D2D0C">
        <w:t xml:space="preserve"> </w:t>
      </w:r>
      <w:proofErr w:type="spellStart"/>
      <w:r w:rsidR="006D2D0C" w:rsidRPr="006D2D0C">
        <w:t>dua</w:t>
      </w:r>
      <w:proofErr w:type="spellEnd"/>
      <w:r w:rsidR="006D2D0C" w:rsidRPr="006D2D0C">
        <w:t xml:space="preserve"> </w:t>
      </w:r>
      <w:proofErr w:type="spellStart"/>
      <w:r w:rsidR="006D2D0C" w:rsidRPr="006D2D0C">
        <w:t>pendekatan</w:t>
      </w:r>
      <w:proofErr w:type="spellEnd"/>
      <w:r w:rsidR="006D2D0C" w:rsidRPr="006D2D0C">
        <w:t xml:space="preserve"> yang </w:t>
      </w:r>
      <w:proofErr w:type="spellStart"/>
      <w:r w:rsidR="006D2D0C" w:rsidRPr="006D2D0C">
        <w:t>berbeda</w:t>
      </w:r>
      <w:proofErr w:type="spellEnd"/>
      <w:r w:rsidR="006D2D0C" w:rsidRPr="006D2D0C">
        <w:t xml:space="preserve"> </w:t>
      </w:r>
      <w:proofErr w:type="spellStart"/>
      <w:r w:rsidR="006D2D0C" w:rsidRPr="006D2D0C">
        <w:t>yaitu</w:t>
      </w:r>
      <w:proofErr w:type="spellEnd"/>
      <w:r w:rsidR="006D2D0C" w:rsidRPr="006D2D0C">
        <w:t xml:space="preserve"> </w:t>
      </w:r>
      <w:proofErr w:type="spellStart"/>
      <w:r w:rsidR="006D2D0C" w:rsidRPr="006D2D0C">
        <w:t>pendekatan</w:t>
      </w:r>
      <w:proofErr w:type="spellEnd"/>
      <w:r w:rsidR="006D2D0C" w:rsidRPr="006D2D0C">
        <w:t xml:space="preserve"> </w:t>
      </w:r>
      <w:proofErr w:type="spellStart"/>
      <w:r w:rsidR="006D2D0C" w:rsidRPr="006D2D0C">
        <w:t>kuantitatif</w:t>
      </w:r>
      <w:proofErr w:type="spellEnd"/>
      <w:r w:rsidR="006D2D0C" w:rsidRPr="006D2D0C">
        <w:t xml:space="preserve"> </w:t>
      </w:r>
      <w:proofErr w:type="spellStart"/>
      <w:r w:rsidR="006D2D0C" w:rsidRPr="006D2D0C">
        <w:t>atau</w:t>
      </w:r>
      <w:proofErr w:type="spellEnd"/>
      <w:r w:rsidR="006D2D0C" w:rsidRPr="006D2D0C">
        <w:t xml:space="preserve"> </w:t>
      </w:r>
      <w:proofErr w:type="spellStart"/>
      <w:r w:rsidR="006D2D0C" w:rsidRPr="006D2D0C">
        <w:t>kualitatif</w:t>
      </w:r>
      <w:proofErr w:type="spellEnd"/>
      <w:r w:rsidR="006D2D0C" w:rsidRPr="006D2D0C">
        <w:t>.</w:t>
      </w:r>
      <w:proofErr w:type="gramEnd"/>
      <w:r w:rsidR="006D2D0C" w:rsidRPr="006D2D0C">
        <w:t xml:space="preserve"> </w:t>
      </w:r>
      <w:proofErr w:type="spellStart"/>
      <w:r w:rsidR="006D2D0C" w:rsidRPr="006D2D0C">
        <w:t>Berdasarkan</w:t>
      </w:r>
      <w:proofErr w:type="spellEnd"/>
      <w:r w:rsidR="006D2D0C" w:rsidRPr="006D2D0C">
        <w:t xml:space="preserve"> data yang </w:t>
      </w:r>
      <w:proofErr w:type="spellStart"/>
      <w:r w:rsidR="006D2D0C" w:rsidRPr="006D2D0C">
        <w:t>dianalisis</w:t>
      </w:r>
      <w:proofErr w:type="spellEnd"/>
      <w:r w:rsidR="006D2D0C" w:rsidRPr="006D2D0C">
        <w:t xml:space="preserve">, </w:t>
      </w:r>
      <w:proofErr w:type="spellStart"/>
      <w:r w:rsidR="006D2D0C" w:rsidRPr="006D2D0C">
        <w:t>sumber</w:t>
      </w:r>
      <w:proofErr w:type="spellEnd"/>
      <w:r w:rsidR="006D2D0C" w:rsidRPr="006D2D0C">
        <w:t xml:space="preserve"> </w:t>
      </w:r>
      <w:proofErr w:type="spellStart"/>
      <w:proofErr w:type="gramStart"/>
      <w:r w:rsidR="006D2D0C" w:rsidRPr="006D2D0C">
        <w:t>dana</w:t>
      </w:r>
      <w:proofErr w:type="spellEnd"/>
      <w:proofErr w:type="gram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staf</w:t>
      </w:r>
      <w:proofErr w:type="spellEnd"/>
      <w:r w:rsidR="006D2D0C" w:rsidRPr="006D2D0C">
        <w:t xml:space="preserve"> (</w:t>
      </w:r>
      <w:proofErr w:type="spellStart"/>
      <w:r w:rsidR="006D2D0C" w:rsidRPr="006D2D0C">
        <w:t>sumber</w:t>
      </w:r>
      <w:proofErr w:type="spellEnd"/>
      <w:r w:rsidR="006D2D0C" w:rsidRPr="006D2D0C">
        <w:t xml:space="preserve"> </w:t>
      </w:r>
      <w:proofErr w:type="spellStart"/>
      <w:r w:rsidR="006D2D0C" w:rsidRPr="006D2D0C">
        <w:t>daya</w:t>
      </w:r>
      <w:proofErr w:type="spellEnd"/>
      <w:r w:rsidR="006D2D0C" w:rsidRPr="006D2D0C">
        <w:t xml:space="preserve"> </w:t>
      </w:r>
      <w:proofErr w:type="spellStart"/>
      <w:r w:rsidR="006D2D0C" w:rsidRPr="006D2D0C">
        <w:t>manusia</w:t>
      </w:r>
      <w:proofErr w:type="spellEnd"/>
      <w:r w:rsidR="006D2D0C" w:rsidRPr="006D2D0C">
        <w:t xml:space="preserve">) </w:t>
      </w:r>
      <w:proofErr w:type="spellStart"/>
      <w:r w:rsidR="006D2D0C" w:rsidRPr="006D2D0C">
        <w:t>masih</w:t>
      </w:r>
      <w:proofErr w:type="spellEnd"/>
      <w:r w:rsidR="006D2D0C" w:rsidRPr="006D2D0C">
        <w:t xml:space="preserve"> </w:t>
      </w:r>
      <w:proofErr w:type="spellStart"/>
      <w:r w:rsidR="006D2D0C" w:rsidRPr="006D2D0C">
        <w:t>kurang</w:t>
      </w:r>
      <w:proofErr w:type="spellEnd"/>
      <w:r w:rsidR="006D2D0C" w:rsidRPr="006D2D0C">
        <w:t xml:space="preserve">. </w:t>
      </w:r>
      <w:proofErr w:type="spellStart"/>
      <w:r w:rsidR="006D2D0C" w:rsidRPr="006D2D0C">
        <w:t>Proses</w:t>
      </w:r>
      <w:proofErr w:type="spellEnd"/>
      <w:r w:rsidR="006D2D0C" w:rsidRPr="006D2D0C">
        <w:t xml:space="preserve"> </w:t>
      </w:r>
      <w:proofErr w:type="spellStart"/>
      <w:r w:rsidR="006D2D0C" w:rsidRPr="006D2D0C">
        <w:t>aksi</w:t>
      </w:r>
      <w:proofErr w:type="spellEnd"/>
      <w:r w:rsidR="006D2D0C" w:rsidRPr="006D2D0C">
        <w:t xml:space="preserve"> </w:t>
      </w:r>
      <w:proofErr w:type="spellStart"/>
      <w:r w:rsidR="006D2D0C" w:rsidRPr="006D2D0C">
        <w:t>kolektif</w:t>
      </w:r>
      <w:proofErr w:type="spellEnd"/>
      <w:r w:rsidR="006D2D0C" w:rsidRPr="006D2D0C">
        <w:t xml:space="preserve"> </w:t>
      </w:r>
      <w:proofErr w:type="spellStart"/>
      <w:r w:rsidR="006D2D0C" w:rsidRPr="006D2D0C">
        <w:t>antar</w:t>
      </w:r>
      <w:proofErr w:type="spellEnd"/>
      <w:r w:rsidR="006D2D0C" w:rsidRPr="006D2D0C">
        <w:t xml:space="preserve"> </w:t>
      </w:r>
      <w:proofErr w:type="spellStart"/>
      <w:r w:rsidR="006D2D0C" w:rsidRPr="006D2D0C">
        <w:t>aktor</w:t>
      </w:r>
      <w:proofErr w:type="spellEnd"/>
      <w:r w:rsidR="006D2D0C" w:rsidRPr="006D2D0C">
        <w:t xml:space="preserve"> </w:t>
      </w:r>
      <w:proofErr w:type="spellStart"/>
      <w:r w:rsidR="006D2D0C" w:rsidRPr="006D2D0C">
        <w:t>berjalan</w:t>
      </w:r>
      <w:proofErr w:type="spellEnd"/>
      <w:r w:rsidR="006D2D0C" w:rsidRPr="006D2D0C">
        <w:t xml:space="preserve"> </w:t>
      </w:r>
      <w:proofErr w:type="spellStart"/>
      <w:r w:rsidR="006D2D0C" w:rsidRPr="006D2D0C">
        <w:t>dengan</w:t>
      </w:r>
      <w:proofErr w:type="spellEnd"/>
      <w:r w:rsidR="006D2D0C" w:rsidRPr="006D2D0C">
        <w:t xml:space="preserve"> </w:t>
      </w:r>
      <w:proofErr w:type="spellStart"/>
      <w:r w:rsidR="006D2D0C" w:rsidRPr="006D2D0C">
        <w:t>baik</w:t>
      </w:r>
      <w:proofErr w:type="spellEnd"/>
      <w:r w:rsidR="006D2D0C" w:rsidRPr="006D2D0C">
        <w:t xml:space="preserve"> </w:t>
      </w:r>
      <w:proofErr w:type="spellStart"/>
      <w:r w:rsidR="006D2D0C" w:rsidRPr="006D2D0C">
        <w:t>dengan</w:t>
      </w:r>
      <w:proofErr w:type="spellEnd"/>
      <w:r w:rsidR="006D2D0C" w:rsidRPr="006D2D0C">
        <w:t xml:space="preserve"> </w:t>
      </w:r>
      <w:proofErr w:type="spellStart"/>
      <w:r w:rsidR="006D2D0C" w:rsidRPr="006D2D0C">
        <w:t>adanya</w:t>
      </w:r>
      <w:proofErr w:type="spellEnd"/>
      <w:r w:rsidR="006D2D0C" w:rsidRPr="006D2D0C">
        <w:t xml:space="preserve"> </w:t>
      </w:r>
      <w:proofErr w:type="spellStart"/>
      <w:r w:rsidR="006D2D0C" w:rsidRPr="006D2D0C">
        <w:t>Kelompok</w:t>
      </w:r>
      <w:proofErr w:type="spellEnd"/>
      <w:r w:rsidR="006D2D0C" w:rsidRPr="006D2D0C">
        <w:t xml:space="preserve"> </w:t>
      </w:r>
      <w:proofErr w:type="spellStart"/>
      <w:r w:rsidR="006D2D0C" w:rsidRPr="006D2D0C">
        <w:t>Kerja</w:t>
      </w:r>
      <w:proofErr w:type="spellEnd"/>
      <w:r w:rsidR="006D2D0C" w:rsidRPr="006D2D0C">
        <w:t xml:space="preserve"> PPS yang </w:t>
      </w:r>
      <w:proofErr w:type="spellStart"/>
      <w:r w:rsidR="006D2D0C" w:rsidRPr="006D2D0C">
        <w:t>berkomitmen</w:t>
      </w:r>
      <w:proofErr w:type="spellEnd"/>
      <w:r w:rsidR="006D2D0C" w:rsidRPr="006D2D0C">
        <w:t xml:space="preserve">. </w:t>
      </w:r>
      <w:proofErr w:type="spellStart"/>
      <w:proofErr w:type="gramStart"/>
      <w:r w:rsidR="006D2D0C" w:rsidRPr="006D2D0C">
        <w:t>Aturan</w:t>
      </w:r>
      <w:proofErr w:type="spellEnd"/>
      <w:r w:rsidR="006D2D0C" w:rsidRPr="006D2D0C">
        <w:t xml:space="preserve"> </w:t>
      </w:r>
      <w:proofErr w:type="spellStart"/>
      <w:r w:rsidR="006D2D0C" w:rsidRPr="006D2D0C">
        <w:t>teknis</w:t>
      </w:r>
      <w:proofErr w:type="spellEnd"/>
      <w:r w:rsidR="006D2D0C" w:rsidRPr="006D2D0C">
        <w:t xml:space="preserve"> </w:t>
      </w:r>
      <w:proofErr w:type="spellStart"/>
      <w:r w:rsidR="006D2D0C" w:rsidRPr="006D2D0C">
        <w:t>jelas</w:t>
      </w:r>
      <w:proofErr w:type="spellEnd"/>
      <w:r w:rsidR="006D2D0C" w:rsidRPr="006D2D0C">
        <w:t xml:space="preserve"> </w:t>
      </w:r>
      <w:proofErr w:type="spellStart"/>
      <w:r w:rsidR="006D2D0C" w:rsidRPr="006D2D0C">
        <w:t>dengan</w:t>
      </w:r>
      <w:proofErr w:type="spellEnd"/>
      <w:r w:rsidR="006D2D0C" w:rsidRPr="006D2D0C">
        <w:t xml:space="preserve"> </w:t>
      </w:r>
      <w:proofErr w:type="spellStart"/>
      <w:r w:rsidR="006D2D0C" w:rsidRPr="006D2D0C">
        <w:t>adanya</w:t>
      </w:r>
      <w:proofErr w:type="spellEnd"/>
      <w:r w:rsidR="006D2D0C" w:rsidRPr="006D2D0C">
        <w:t xml:space="preserve"> SOP yang </w:t>
      </w:r>
      <w:proofErr w:type="spellStart"/>
      <w:r w:rsidR="006D2D0C" w:rsidRPr="006D2D0C">
        <w:t>berasal</w:t>
      </w:r>
      <w:proofErr w:type="spellEnd"/>
      <w:r w:rsidR="006D2D0C" w:rsidRPr="006D2D0C">
        <w:t xml:space="preserve"> </w:t>
      </w:r>
      <w:proofErr w:type="spellStart"/>
      <w:r w:rsidR="006D2D0C" w:rsidRPr="006D2D0C">
        <w:t>dari</w:t>
      </w:r>
      <w:proofErr w:type="spellEnd"/>
      <w:r w:rsidR="006D2D0C" w:rsidRPr="006D2D0C">
        <w:t xml:space="preserve"> </w:t>
      </w:r>
      <w:proofErr w:type="spellStart"/>
      <w:r w:rsidR="006D2D0C" w:rsidRPr="006D2D0C">
        <w:t>aturan</w:t>
      </w:r>
      <w:proofErr w:type="spellEnd"/>
      <w:r w:rsidR="006D2D0C" w:rsidRPr="006D2D0C">
        <w:t xml:space="preserve"> </w:t>
      </w:r>
      <w:proofErr w:type="spellStart"/>
      <w:r w:rsidR="006D2D0C" w:rsidRPr="006D2D0C">
        <w:t>pemerintah</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pemerintah</w:t>
      </w:r>
      <w:proofErr w:type="spellEnd"/>
      <w:r w:rsidR="006D2D0C" w:rsidRPr="006D2D0C">
        <w:t xml:space="preserve"> </w:t>
      </w:r>
      <w:proofErr w:type="spellStart"/>
      <w:r w:rsidR="006D2D0C" w:rsidRPr="006D2D0C">
        <w:t>daerah</w:t>
      </w:r>
      <w:proofErr w:type="spellEnd"/>
      <w:r w:rsidR="006D2D0C" w:rsidRPr="006D2D0C">
        <w:t>.</w:t>
      </w:r>
      <w:proofErr w:type="gramEnd"/>
      <w:r w:rsidR="006D2D0C" w:rsidRPr="006D2D0C">
        <w:t xml:space="preserve"> </w:t>
      </w:r>
      <w:proofErr w:type="spellStart"/>
      <w:r w:rsidR="006D2D0C" w:rsidRPr="006D2D0C">
        <w:lastRenderedPageBreak/>
        <w:t>Komunikasi</w:t>
      </w:r>
      <w:proofErr w:type="spellEnd"/>
      <w:r w:rsidR="006D2D0C" w:rsidRPr="006D2D0C">
        <w:t xml:space="preserve"> </w:t>
      </w:r>
      <w:proofErr w:type="spellStart"/>
      <w:r w:rsidR="006D2D0C" w:rsidRPr="006D2D0C">
        <w:t>berjalan</w:t>
      </w:r>
      <w:proofErr w:type="spellEnd"/>
      <w:r w:rsidR="006D2D0C" w:rsidRPr="006D2D0C">
        <w:t xml:space="preserve"> </w:t>
      </w:r>
      <w:proofErr w:type="spellStart"/>
      <w:r w:rsidR="006D2D0C" w:rsidRPr="006D2D0C">
        <w:t>dengan</w:t>
      </w:r>
      <w:proofErr w:type="spellEnd"/>
      <w:r w:rsidR="006D2D0C" w:rsidRPr="006D2D0C">
        <w:t xml:space="preserve"> </w:t>
      </w:r>
      <w:proofErr w:type="spellStart"/>
      <w:r w:rsidR="006D2D0C" w:rsidRPr="006D2D0C">
        <w:t>baik</w:t>
      </w:r>
      <w:proofErr w:type="spellEnd"/>
      <w:r w:rsidR="006D2D0C" w:rsidRPr="006D2D0C">
        <w:t xml:space="preserve"> </w:t>
      </w:r>
      <w:proofErr w:type="spellStart"/>
      <w:r w:rsidR="006D2D0C" w:rsidRPr="006D2D0C">
        <w:t>antara</w:t>
      </w:r>
      <w:proofErr w:type="spellEnd"/>
      <w:r w:rsidR="006D2D0C" w:rsidRPr="006D2D0C">
        <w:t xml:space="preserve"> </w:t>
      </w:r>
      <w:proofErr w:type="spellStart"/>
      <w:r w:rsidR="006D2D0C" w:rsidRPr="006D2D0C">
        <w:t>masyarakat</w:t>
      </w:r>
      <w:proofErr w:type="spellEnd"/>
      <w:r w:rsidR="006D2D0C" w:rsidRPr="006D2D0C">
        <w:t xml:space="preserve"> (</w:t>
      </w:r>
      <w:proofErr w:type="spellStart"/>
      <w:r w:rsidR="006D2D0C" w:rsidRPr="006D2D0C">
        <w:t>kelompok</w:t>
      </w:r>
      <w:proofErr w:type="spellEnd"/>
      <w:r w:rsidR="006D2D0C" w:rsidRPr="006D2D0C">
        <w:t xml:space="preserve"> </w:t>
      </w:r>
      <w:proofErr w:type="spellStart"/>
      <w:r w:rsidR="006D2D0C" w:rsidRPr="006D2D0C">
        <w:t>tani</w:t>
      </w:r>
      <w:proofErr w:type="spellEnd"/>
      <w:r w:rsidR="006D2D0C" w:rsidRPr="006D2D0C">
        <w:t xml:space="preserve"> </w:t>
      </w:r>
      <w:proofErr w:type="spellStart"/>
      <w:r w:rsidR="006D2D0C" w:rsidRPr="006D2D0C">
        <w:t>hutan</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anggota</w:t>
      </w:r>
      <w:proofErr w:type="spellEnd"/>
      <w:r w:rsidR="006D2D0C" w:rsidRPr="006D2D0C">
        <w:t xml:space="preserve"> </w:t>
      </w:r>
      <w:proofErr w:type="spellStart"/>
      <w:r w:rsidR="006D2D0C" w:rsidRPr="006D2D0C">
        <w:t>koperasi</w:t>
      </w:r>
      <w:proofErr w:type="spellEnd"/>
      <w:r w:rsidR="006D2D0C" w:rsidRPr="006D2D0C">
        <w:t xml:space="preserve">) - </w:t>
      </w:r>
      <w:proofErr w:type="spellStart"/>
      <w:r w:rsidR="006D2D0C" w:rsidRPr="006D2D0C">
        <w:t>pemerintah</w:t>
      </w:r>
      <w:proofErr w:type="spellEnd"/>
      <w:r w:rsidR="006D2D0C" w:rsidRPr="006D2D0C">
        <w:t xml:space="preserve"> </w:t>
      </w:r>
      <w:proofErr w:type="spellStart"/>
      <w:r w:rsidR="006D2D0C" w:rsidRPr="006D2D0C">
        <w:t>daerah</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fasilitator</w:t>
      </w:r>
      <w:proofErr w:type="spellEnd"/>
      <w:r w:rsidR="006D2D0C" w:rsidRPr="006D2D0C">
        <w:t xml:space="preserve">, </w:t>
      </w:r>
      <w:proofErr w:type="spellStart"/>
      <w:r w:rsidR="006D2D0C" w:rsidRPr="006D2D0C">
        <w:t>tetapi</w:t>
      </w:r>
      <w:proofErr w:type="spellEnd"/>
      <w:r w:rsidR="006D2D0C" w:rsidRPr="006D2D0C">
        <w:t xml:space="preserve"> </w:t>
      </w:r>
      <w:proofErr w:type="spellStart"/>
      <w:r w:rsidR="006D2D0C" w:rsidRPr="006D2D0C">
        <w:t>tidak</w:t>
      </w:r>
      <w:proofErr w:type="spellEnd"/>
      <w:r w:rsidR="006D2D0C" w:rsidRPr="006D2D0C">
        <w:t xml:space="preserve"> </w:t>
      </w:r>
      <w:proofErr w:type="spellStart"/>
      <w:r w:rsidR="006D2D0C" w:rsidRPr="006D2D0C">
        <w:t>begitu</w:t>
      </w:r>
      <w:proofErr w:type="spellEnd"/>
      <w:r w:rsidR="006D2D0C" w:rsidRPr="006D2D0C">
        <w:t xml:space="preserve"> </w:t>
      </w:r>
      <w:proofErr w:type="spellStart"/>
      <w:r w:rsidR="006D2D0C" w:rsidRPr="006D2D0C">
        <w:t>baik</w:t>
      </w:r>
      <w:proofErr w:type="spellEnd"/>
      <w:r w:rsidR="006D2D0C" w:rsidRPr="006D2D0C">
        <w:t xml:space="preserve"> </w:t>
      </w:r>
      <w:proofErr w:type="spellStart"/>
      <w:r w:rsidR="006D2D0C" w:rsidRPr="006D2D0C">
        <w:t>antara</w:t>
      </w:r>
      <w:proofErr w:type="spellEnd"/>
      <w:r w:rsidR="006D2D0C" w:rsidRPr="006D2D0C">
        <w:t xml:space="preserve"> </w:t>
      </w:r>
      <w:proofErr w:type="spellStart"/>
      <w:r w:rsidR="006D2D0C" w:rsidRPr="006D2D0C">
        <w:t>struktur</w:t>
      </w:r>
      <w:proofErr w:type="spellEnd"/>
      <w:r w:rsidR="006D2D0C" w:rsidRPr="006D2D0C">
        <w:t xml:space="preserve"> </w:t>
      </w:r>
      <w:proofErr w:type="spellStart"/>
      <w:r w:rsidR="006D2D0C" w:rsidRPr="006D2D0C">
        <w:t>pemerintah</w:t>
      </w:r>
      <w:proofErr w:type="spellEnd"/>
      <w:r w:rsidR="006D2D0C" w:rsidRPr="006D2D0C">
        <w:t xml:space="preserve"> (</w:t>
      </w:r>
      <w:proofErr w:type="spellStart"/>
      <w:r w:rsidR="006D2D0C" w:rsidRPr="006D2D0C">
        <w:t>kepala</w:t>
      </w:r>
      <w:proofErr w:type="spellEnd"/>
      <w:r w:rsidR="006D2D0C" w:rsidRPr="006D2D0C">
        <w:t xml:space="preserve"> </w:t>
      </w:r>
      <w:proofErr w:type="spellStart"/>
      <w:r w:rsidR="006D2D0C" w:rsidRPr="006D2D0C">
        <w:t>desa</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aparat</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pemerintah</w:t>
      </w:r>
      <w:proofErr w:type="spellEnd"/>
      <w:r w:rsidR="006D2D0C" w:rsidRPr="006D2D0C">
        <w:t xml:space="preserve"> </w:t>
      </w:r>
      <w:proofErr w:type="spellStart"/>
      <w:r w:rsidR="006D2D0C" w:rsidRPr="006D2D0C">
        <w:t>daerah</w:t>
      </w:r>
      <w:proofErr w:type="spellEnd"/>
      <w:r w:rsidR="006D2D0C" w:rsidRPr="006D2D0C">
        <w:t xml:space="preserve">. </w:t>
      </w:r>
      <w:proofErr w:type="spellStart"/>
      <w:proofErr w:type="gramStart"/>
      <w:r w:rsidR="006D2D0C" w:rsidRPr="006D2D0C">
        <w:t>Kebijakan</w:t>
      </w:r>
      <w:proofErr w:type="spellEnd"/>
      <w:r w:rsidR="006D2D0C" w:rsidRPr="006D2D0C">
        <w:t xml:space="preserve"> </w:t>
      </w:r>
      <w:proofErr w:type="spellStart"/>
      <w:r w:rsidR="006D2D0C" w:rsidRPr="006D2D0C">
        <w:t>kehutanan</w:t>
      </w:r>
      <w:proofErr w:type="spellEnd"/>
      <w:r w:rsidR="006D2D0C" w:rsidRPr="006D2D0C">
        <w:t xml:space="preserve"> </w:t>
      </w:r>
      <w:proofErr w:type="spellStart"/>
      <w:r w:rsidR="006D2D0C" w:rsidRPr="006D2D0C">
        <w:t>sosial</w:t>
      </w:r>
      <w:proofErr w:type="spellEnd"/>
      <w:r w:rsidR="006D2D0C" w:rsidRPr="006D2D0C">
        <w:t xml:space="preserve"> </w:t>
      </w:r>
      <w:proofErr w:type="spellStart"/>
      <w:r w:rsidR="006D2D0C" w:rsidRPr="006D2D0C">
        <w:t>di</w:t>
      </w:r>
      <w:proofErr w:type="spellEnd"/>
      <w:r w:rsidR="006D2D0C" w:rsidRPr="006D2D0C">
        <w:t xml:space="preserve"> </w:t>
      </w:r>
      <w:proofErr w:type="spellStart"/>
      <w:r w:rsidR="006D2D0C" w:rsidRPr="006D2D0C">
        <w:t>Kabupaten</w:t>
      </w:r>
      <w:proofErr w:type="spellEnd"/>
      <w:r w:rsidR="006D2D0C" w:rsidRPr="006D2D0C">
        <w:t xml:space="preserve"> </w:t>
      </w:r>
      <w:proofErr w:type="spellStart"/>
      <w:r w:rsidR="006D2D0C" w:rsidRPr="006D2D0C">
        <w:t>Musi</w:t>
      </w:r>
      <w:proofErr w:type="spellEnd"/>
      <w:r w:rsidR="006D2D0C" w:rsidRPr="006D2D0C">
        <w:t xml:space="preserve"> </w:t>
      </w:r>
      <w:proofErr w:type="spellStart"/>
      <w:r w:rsidR="006D2D0C" w:rsidRPr="006D2D0C">
        <w:t>Banyuasin</w:t>
      </w:r>
      <w:proofErr w:type="spellEnd"/>
      <w:r w:rsidR="006D2D0C" w:rsidRPr="006D2D0C">
        <w:t xml:space="preserve">, Sumatera Selatan </w:t>
      </w:r>
      <w:proofErr w:type="spellStart"/>
      <w:r w:rsidR="006D2D0C" w:rsidRPr="006D2D0C">
        <w:t>telah</w:t>
      </w:r>
      <w:proofErr w:type="spellEnd"/>
      <w:r w:rsidR="006D2D0C" w:rsidRPr="006D2D0C">
        <w:t xml:space="preserve"> </w:t>
      </w:r>
      <w:proofErr w:type="spellStart"/>
      <w:r w:rsidR="006D2D0C" w:rsidRPr="006D2D0C">
        <w:t>secara</w:t>
      </w:r>
      <w:proofErr w:type="spellEnd"/>
      <w:r w:rsidR="006D2D0C" w:rsidRPr="006D2D0C">
        <w:t xml:space="preserve"> </w:t>
      </w:r>
      <w:proofErr w:type="spellStart"/>
      <w:r w:rsidR="006D2D0C" w:rsidRPr="006D2D0C">
        <w:t>efektif</w:t>
      </w:r>
      <w:proofErr w:type="spellEnd"/>
      <w:r w:rsidR="006D2D0C" w:rsidRPr="006D2D0C">
        <w:t xml:space="preserve"> </w:t>
      </w:r>
      <w:proofErr w:type="spellStart"/>
      <w:r w:rsidR="006D2D0C" w:rsidRPr="006D2D0C">
        <w:t>dilaksanakan</w:t>
      </w:r>
      <w:proofErr w:type="spellEnd"/>
      <w:r w:rsidR="006D2D0C" w:rsidRPr="006D2D0C">
        <w:t xml:space="preserve"> </w:t>
      </w:r>
      <w:proofErr w:type="spellStart"/>
      <w:r w:rsidR="006D2D0C" w:rsidRPr="006D2D0C">
        <w:t>dari</w:t>
      </w:r>
      <w:proofErr w:type="spellEnd"/>
      <w:r w:rsidR="006D2D0C" w:rsidRPr="006D2D0C">
        <w:t xml:space="preserve"> </w:t>
      </w:r>
      <w:proofErr w:type="spellStart"/>
      <w:r w:rsidR="006D2D0C" w:rsidRPr="006D2D0C">
        <w:t>perspektif</w:t>
      </w:r>
      <w:proofErr w:type="spellEnd"/>
      <w:r w:rsidR="006D2D0C" w:rsidRPr="006D2D0C">
        <w:t xml:space="preserve"> </w:t>
      </w:r>
      <w:proofErr w:type="spellStart"/>
      <w:r w:rsidR="006D2D0C" w:rsidRPr="006D2D0C">
        <w:t>akurasi</w:t>
      </w:r>
      <w:proofErr w:type="spellEnd"/>
      <w:r w:rsidR="006D2D0C" w:rsidRPr="006D2D0C">
        <w:t xml:space="preserve"> </w:t>
      </w:r>
      <w:proofErr w:type="spellStart"/>
      <w:r w:rsidR="006D2D0C" w:rsidRPr="006D2D0C">
        <w:t>kebijakan</w:t>
      </w:r>
      <w:proofErr w:type="spellEnd"/>
      <w:r w:rsidR="006D2D0C" w:rsidRPr="006D2D0C">
        <w:t xml:space="preserve"> </w:t>
      </w:r>
      <w:proofErr w:type="spellStart"/>
      <w:r w:rsidR="006D2D0C" w:rsidRPr="006D2D0C">
        <w:t>dalam</w:t>
      </w:r>
      <w:proofErr w:type="spellEnd"/>
      <w:r w:rsidR="006D2D0C" w:rsidRPr="006D2D0C">
        <w:t xml:space="preserve"> </w:t>
      </w:r>
      <w:proofErr w:type="spellStart"/>
      <w:r w:rsidR="006D2D0C" w:rsidRPr="006D2D0C">
        <w:t>menyelesaikan</w:t>
      </w:r>
      <w:proofErr w:type="spellEnd"/>
      <w:r w:rsidR="006D2D0C" w:rsidRPr="006D2D0C">
        <w:t xml:space="preserve"> </w:t>
      </w:r>
      <w:proofErr w:type="spellStart"/>
      <w:r w:rsidR="006D2D0C" w:rsidRPr="006D2D0C">
        <w:t>masalah</w:t>
      </w:r>
      <w:proofErr w:type="spellEnd"/>
      <w:r w:rsidR="006D2D0C" w:rsidRPr="006D2D0C">
        <w:t xml:space="preserve"> </w:t>
      </w:r>
      <w:proofErr w:type="spellStart"/>
      <w:r w:rsidR="006D2D0C" w:rsidRPr="006D2D0C">
        <w:t>kehutanan</w:t>
      </w:r>
      <w:proofErr w:type="spellEnd"/>
      <w:r w:rsidR="006D2D0C" w:rsidRPr="006D2D0C">
        <w:t xml:space="preserve"> </w:t>
      </w:r>
      <w:proofErr w:type="spellStart"/>
      <w:r w:rsidR="006D2D0C" w:rsidRPr="006D2D0C">
        <w:t>dan</w:t>
      </w:r>
      <w:proofErr w:type="spellEnd"/>
      <w:r w:rsidR="006D2D0C" w:rsidRPr="006D2D0C">
        <w:t xml:space="preserve"> </w:t>
      </w:r>
      <w:proofErr w:type="spellStart"/>
      <w:r w:rsidR="006D2D0C" w:rsidRPr="006D2D0C">
        <w:t>akurasi</w:t>
      </w:r>
      <w:proofErr w:type="spellEnd"/>
      <w:r w:rsidR="006D2D0C" w:rsidRPr="006D2D0C">
        <w:t xml:space="preserve"> </w:t>
      </w:r>
      <w:proofErr w:type="spellStart"/>
      <w:r w:rsidR="006D2D0C" w:rsidRPr="006D2D0C">
        <w:t>lingkungan</w:t>
      </w:r>
      <w:proofErr w:type="spellEnd"/>
      <w:r w:rsidR="006D2D0C" w:rsidRPr="006D2D0C">
        <w:t xml:space="preserve"> </w:t>
      </w:r>
      <w:proofErr w:type="spellStart"/>
      <w:r w:rsidR="006D2D0C" w:rsidRPr="006D2D0C">
        <w:t>dalam</w:t>
      </w:r>
      <w:proofErr w:type="spellEnd"/>
      <w:r w:rsidR="006D2D0C" w:rsidRPr="006D2D0C">
        <w:t xml:space="preserve"> </w:t>
      </w:r>
      <w:proofErr w:type="spellStart"/>
      <w:r w:rsidR="006D2D0C" w:rsidRPr="006D2D0C">
        <w:t>menerima</w:t>
      </w:r>
      <w:proofErr w:type="spellEnd"/>
      <w:r w:rsidR="006D2D0C" w:rsidRPr="006D2D0C">
        <w:t xml:space="preserve"> </w:t>
      </w:r>
      <w:proofErr w:type="spellStart"/>
      <w:r w:rsidR="006D2D0C" w:rsidRPr="006D2D0C">
        <w:t>kebijakan</w:t>
      </w:r>
      <w:proofErr w:type="spellEnd"/>
      <w:r w:rsidR="006D2D0C" w:rsidRPr="006D2D0C">
        <w:t>.</w:t>
      </w:r>
      <w:proofErr w:type="gramEnd"/>
    </w:p>
    <w:p w:rsidR="00F065F6" w:rsidRDefault="00F065F6" w:rsidP="0045178E">
      <w:pPr>
        <w:ind w:firstLine="0"/>
        <w:rPr>
          <w:rFonts w:cs="Times New Roman"/>
          <w:sz w:val="22"/>
          <w:szCs w:val="24"/>
        </w:rPr>
      </w:pPr>
      <w:proofErr w:type="spellStart"/>
      <w:r w:rsidRPr="0045178E">
        <w:rPr>
          <w:rFonts w:cs="Times New Roman"/>
          <w:sz w:val="22"/>
          <w:szCs w:val="24"/>
        </w:rPr>
        <w:t>Kata</w:t>
      </w:r>
      <w:proofErr w:type="spellEnd"/>
      <w:r w:rsidRPr="0045178E">
        <w:rPr>
          <w:rFonts w:cs="Times New Roman"/>
          <w:sz w:val="22"/>
          <w:szCs w:val="24"/>
        </w:rPr>
        <w:t xml:space="preserve"> </w:t>
      </w:r>
      <w:proofErr w:type="spellStart"/>
      <w:r w:rsidRPr="0045178E">
        <w:rPr>
          <w:rFonts w:cs="Times New Roman"/>
          <w:sz w:val="22"/>
          <w:szCs w:val="24"/>
        </w:rPr>
        <w:t>kunci</w:t>
      </w:r>
      <w:proofErr w:type="spellEnd"/>
      <w:r w:rsidRPr="0045178E">
        <w:rPr>
          <w:rFonts w:cs="Times New Roman"/>
          <w:sz w:val="22"/>
          <w:szCs w:val="24"/>
        </w:rPr>
        <w:t xml:space="preserve">: </w:t>
      </w:r>
      <w:proofErr w:type="spellStart"/>
      <w:r w:rsidR="00044D25" w:rsidRPr="0045178E">
        <w:rPr>
          <w:rFonts w:cs="Times New Roman"/>
          <w:sz w:val="22"/>
          <w:szCs w:val="24"/>
        </w:rPr>
        <w:t>perhutanan</w:t>
      </w:r>
      <w:proofErr w:type="spellEnd"/>
      <w:r w:rsidR="00044D25" w:rsidRPr="0045178E">
        <w:rPr>
          <w:rFonts w:cs="Times New Roman"/>
          <w:sz w:val="22"/>
          <w:szCs w:val="24"/>
        </w:rPr>
        <w:t xml:space="preserve"> </w:t>
      </w:r>
      <w:proofErr w:type="spellStart"/>
      <w:r w:rsidR="00044D25" w:rsidRPr="0045178E">
        <w:rPr>
          <w:rFonts w:cs="Times New Roman"/>
          <w:sz w:val="22"/>
          <w:szCs w:val="24"/>
        </w:rPr>
        <w:t>sosial</w:t>
      </w:r>
      <w:proofErr w:type="spellEnd"/>
      <w:r w:rsidR="00044D25" w:rsidRPr="0045178E">
        <w:rPr>
          <w:rFonts w:cs="Times New Roman"/>
          <w:sz w:val="22"/>
          <w:szCs w:val="24"/>
        </w:rPr>
        <w:t xml:space="preserve">, </w:t>
      </w:r>
      <w:proofErr w:type="spellStart"/>
      <w:r w:rsidR="00044D25" w:rsidRPr="0045178E">
        <w:rPr>
          <w:rFonts w:cs="Times New Roman"/>
          <w:sz w:val="22"/>
          <w:szCs w:val="24"/>
        </w:rPr>
        <w:t>hutan</w:t>
      </w:r>
      <w:proofErr w:type="spellEnd"/>
      <w:r w:rsidR="00044D25" w:rsidRPr="0045178E">
        <w:rPr>
          <w:rFonts w:cs="Times New Roman"/>
          <w:sz w:val="22"/>
          <w:szCs w:val="24"/>
        </w:rPr>
        <w:t xml:space="preserve"> </w:t>
      </w:r>
      <w:proofErr w:type="spellStart"/>
      <w:r w:rsidR="00044D25" w:rsidRPr="0045178E">
        <w:rPr>
          <w:rFonts w:cs="Times New Roman"/>
          <w:sz w:val="22"/>
          <w:szCs w:val="24"/>
        </w:rPr>
        <w:t>lindung</w:t>
      </w:r>
      <w:proofErr w:type="spellEnd"/>
      <w:r w:rsidR="00044D25" w:rsidRPr="0045178E">
        <w:rPr>
          <w:rFonts w:cs="Times New Roman"/>
          <w:sz w:val="22"/>
          <w:szCs w:val="24"/>
        </w:rPr>
        <w:t xml:space="preserve">, </w:t>
      </w:r>
      <w:proofErr w:type="spellStart"/>
      <w:r w:rsidR="00044D25" w:rsidRPr="0045178E">
        <w:rPr>
          <w:rFonts w:cs="Times New Roman"/>
          <w:sz w:val="22"/>
          <w:szCs w:val="24"/>
        </w:rPr>
        <w:t>lubuk</w:t>
      </w:r>
      <w:proofErr w:type="spellEnd"/>
      <w:r w:rsidR="00044D25" w:rsidRPr="0045178E">
        <w:rPr>
          <w:rFonts w:cs="Times New Roman"/>
          <w:sz w:val="22"/>
          <w:szCs w:val="24"/>
        </w:rPr>
        <w:t xml:space="preserve"> </w:t>
      </w:r>
      <w:proofErr w:type="spellStart"/>
      <w:r w:rsidR="00044D25" w:rsidRPr="0045178E">
        <w:rPr>
          <w:rFonts w:cs="Times New Roman"/>
          <w:sz w:val="22"/>
          <w:szCs w:val="24"/>
        </w:rPr>
        <w:t>bintialo</w:t>
      </w:r>
      <w:proofErr w:type="spellEnd"/>
      <w:r w:rsidR="00044D25" w:rsidRPr="0045178E">
        <w:rPr>
          <w:rFonts w:cs="Times New Roman"/>
          <w:sz w:val="22"/>
          <w:szCs w:val="24"/>
        </w:rPr>
        <w:t xml:space="preserve">, </w:t>
      </w:r>
      <w:proofErr w:type="spellStart"/>
      <w:r w:rsidR="00044D25" w:rsidRPr="0045178E">
        <w:rPr>
          <w:rFonts w:cs="Times New Roman"/>
          <w:sz w:val="22"/>
          <w:szCs w:val="24"/>
        </w:rPr>
        <w:t>pangkalan</w:t>
      </w:r>
      <w:proofErr w:type="spellEnd"/>
      <w:r w:rsidR="00044D25" w:rsidRPr="0045178E">
        <w:rPr>
          <w:rFonts w:cs="Times New Roman"/>
          <w:sz w:val="22"/>
          <w:szCs w:val="24"/>
        </w:rPr>
        <w:t xml:space="preserve"> </w:t>
      </w:r>
      <w:proofErr w:type="spellStart"/>
      <w:r w:rsidR="00044D25" w:rsidRPr="0045178E">
        <w:rPr>
          <w:rFonts w:cs="Times New Roman"/>
          <w:sz w:val="22"/>
          <w:szCs w:val="24"/>
        </w:rPr>
        <w:t>bulian</w:t>
      </w:r>
      <w:bookmarkEnd w:id="0"/>
      <w:proofErr w:type="spellEnd"/>
    </w:p>
    <w:p w:rsidR="006D2D0C" w:rsidRPr="006D2D0C" w:rsidRDefault="006D2D0C" w:rsidP="006D2D0C">
      <w:pPr>
        <w:ind w:firstLine="0"/>
        <w:rPr>
          <w:b/>
        </w:rPr>
      </w:pPr>
    </w:p>
    <w:p w:rsidR="0045178E" w:rsidRPr="0045178E" w:rsidRDefault="0045178E" w:rsidP="0045178E">
      <w:pPr>
        <w:pStyle w:val="ListParagraph"/>
        <w:numPr>
          <w:ilvl w:val="0"/>
          <w:numId w:val="4"/>
        </w:numPr>
        <w:ind w:leftChars="0" w:left="284" w:hanging="284"/>
        <w:rPr>
          <w:b/>
        </w:rPr>
      </w:pPr>
      <w:r w:rsidRPr="0045178E">
        <w:rPr>
          <w:b/>
          <w:lang w:val="en-US"/>
        </w:rPr>
        <w:t>Introduction</w:t>
      </w:r>
    </w:p>
    <w:p w:rsidR="00F065F6" w:rsidRDefault="00DB1F5C" w:rsidP="00DB1F5C">
      <w:r w:rsidRPr="00DB1F5C">
        <w:t xml:space="preserve">Forests provide critical ecosystem services, including regulating the earth's climate and watersheds, and contributing to livelihoods worldwide </w:t>
      </w:r>
      <w:r w:rsidR="00B40461" w:rsidRPr="00DB1F5C">
        <w:fldChar w:fldCharType="begin" w:fldLock="1"/>
      </w:r>
      <w:r w:rsidR="00F70037">
        <w:instrText>ADDIN CSL_CITATION {"citationItems":[{"id":"ITEM-1","itemData":{"DOI":"10.1016/B978-0-12-809665-9.09527-6","ISBN":"978-0-12-409548-9","ISSN":"0002-9297","PMID":"17701908","abstract":"Abstract Forests provide critical ecosystem services, including regulating the earth's climate and watersheds, and contributing to livelihoods worldwide. Growing international attention on the issue of deforestation demands accurate, precise, and consistent systems for monitoring forest changes at appropriate scales. However, the vastness and remoteness of forests present a significant challenge to producing good information in a timely matter. This module reviews the current global systems for monitoring changes in forest area, their policy applications, and advancements anticipated for the future. ","author":[{"dropping-particle":"","family":"Davis","given":"C.","non-dropping-particle":"","parse-names":false,"suffix":""},{"dropping-particle":"","family":"Petersen","given":"R.","non-dropping-particle":"","parse-names":false,"suffix":""}],"container-title":"Encyclopedia of the Anthropocene","id":"ITEM-1","issued":{"date-parts":[["2018"]]},"number-of-pages":"313-320","publisher":"Elsevier Inc.","title":"Tools for Monitoring Global Deforestation","type":"book"},"uris":["http://www.mendeley.com/documents/?uuid=e2afb186-7418-4116-820f-6d3312c67c30"]}],"mendeley":{"formattedCitation":"[1]","plainTextFormattedCitation":"[1]","previouslyFormattedCitation":"(Davis and Petersen, 2018)"},"properties":{"noteIndex":0},"schema":"https://github.com/citation-style-language/schema/raw/master/csl-citation.json"}</w:instrText>
      </w:r>
      <w:r w:rsidR="00B40461" w:rsidRPr="00DB1F5C">
        <w:fldChar w:fldCharType="separate"/>
      </w:r>
      <w:r w:rsidR="00F70037" w:rsidRPr="00F70037">
        <w:rPr>
          <w:noProof/>
        </w:rPr>
        <w:t>[1]</w:t>
      </w:r>
      <w:r w:rsidR="00B40461" w:rsidRPr="00DB1F5C">
        <w:fldChar w:fldCharType="end"/>
      </w:r>
      <w:r w:rsidRPr="00DB1F5C">
        <w:t xml:space="preserve">. Indonesia is a big nation with 120.6 million hectares or 63% of the nation’s entire land area designated as the Forest Area </w:t>
      </w:r>
      <w:r w:rsidR="00B40461" w:rsidRPr="00DB1F5C">
        <w:fldChar w:fldCharType="begin" w:fldLock="1"/>
      </w:r>
      <w:r w:rsidR="00F70037">
        <w:instrText>ADDIN CSL_CITATION {"citationItems":[{"id":"ITEM-1","itemData":{"ISBN":"978-602-8358-82-8","author":[{"dropping-particle":"","family":"MEF [Ministry of Environment and Forestry Indonesia]","given":"","non-dropping-particle":"","parse-names":false,"suffix":""}],"id":"ITEM-1","issued":{"date-parts":[["2018"]]},"publisher-place":"Jakarta","title":"The state of Indonesia's forests 2018","type":"book"},"uris":["http://www.mendeley.com/documents/?uuid=c459de2a-9a22-45ff-b022-832d744e6ad0"]}],"mendeley":{"formattedCitation":"[2]","manualFormatting":"(MEF, 2018)","plainTextFormattedCitation":"[2]","previouslyFormattedCitation":"(MEF [Ministry of Environment and Forestry Indonesia], 2018a)"},"properties":{"noteIndex":0},"schema":"https://github.com/citation-style-language/schema/raw/master/csl-citation.json"}</w:instrText>
      </w:r>
      <w:r w:rsidR="00B40461" w:rsidRPr="00DB1F5C">
        <w:fldChar w:fldCharType="separate"/>
      </w:r>
      <w:r w:rsidRPr="00DB1F5C">
        <w:rPr>
          <w:noProof/>
        </w:rPr>
        <w:t>(MEF, 2018)</w:t>
      </w:r>
      <w:r w:rsidR="00B40461" w:rsidRPr="00DB1F5C">
        <w:fldChar w:fldCharType="end"/>
      </w:r>
      <w:r w:rsidRPr="00DB1F5C">
        <w:t xml:space="preserve">.Indonesia contributes significantly to deforestation in Southeast Asia. Deforestation trend in Indonesia started in 1970 </w:t>
      </w:r>
      <w:r w:rsidR="00B40461" w:rsidRPr="00DB1F5C">
        <w:fldChar w:fldCharType="begin" w:fldLock="1"/>
      </w:r>
      <w:r w:rsidR="00F70037">
        <w:instrText>ADDIN CSL_CITATION {"citationItems":[{"id":"ITEM-1","itemData":{"DOI":"10.1016/j.landusepol.2016.05.034","ISBN":"0264-8377","ISSN":"02648377","abstract":"To clarify the causes and history of forest loss in Indonesia from 1950 to 2015, we compiled and analyzed national-level statistics and literature relating to forest cover change. In 1950, nearly 159.0 Mha (87.0%) of the total land area (182.7 million hectares or Mha) in Indonesia was estimated to be covered by forest. Between 1950 and 1997, 59.0 Mha of forest was deforested, while 7.1 Mha of arable land, 10.2 Mha of permanent crop, and 41.7 Mha of \"other\" land category were increased. Between 1997 and 2015, 5.6 Mha of arable land and 11.3 Mha of land for permanent crop were increased, while 9.0 Mha of forest and 7.9 Mha of the \"other\" category decreased. Prior to 1970, no trend of severe forest loss was apparent. Between 1970 and the mid-1990s, export-oriented log production and global demand were the primary pressures underlying deforestation. Cultivation of rice and other crops was also found to be associated with a growing population and transmigration policy. Moreover, deregulation of foreign investment in the 1980s appears to have led to expansion of an export-oriented industry, including commercial crop and log production. Between the mid-1990s and 2015, imbalance between global demand and production of Indonesian timber and oil palm led to illegal or non-sustainable timber harvest and expansion of permanent agricultural areas. Since 2011, regulation of forestry practices coupled with a tree planting movement have been promoted, resulting in the amelioration of deforestation rates.","author":[{"dropping-particle":"","family":"Tsujino","given":"Riyou","non-dropping-particle":"","parse-names":false,"suffix":""},{"dropping-particle":"","family":"Yumoto","given":"Takakazu","non-dropping-particle":"","parse-names":false,"suffix":""},{"dropping-particle":"","family":"Kitamura","given":"Shumpei","non-dropping-particle":"","parse-names":false,"suffix":""},{"dropping-particle":"","family":"Djamaluddin","given":"Ibrahim","non-dropping-particle":"","parse-names":false,"suffix":""},{"dropping-particle":"","family":"Darnaedi","given":"Dedy","non-dropping-particle":"","parse-names":false,"suffix":""}],"container-title":"Land Use Policy","id":"ITEM-1","issued":{"date-parts":[["2016"]]},"page":"335-347","publisher":"Elsevier Ltd","title":"History of forest loss and degradation in Indonesia","type":"article-journal","volume":"57"},"uris":["http://www.mendeley.com/documents/?uuid=b677f2f4-71d2-4fc2-b6a6-29bd7d9dc425"]}],"mendeley":{"formattedCitation":"[3]","plainTextFormattedCitation":"[3]","previouslyFormattedCitation":"(Tsujino et al., 2016)"},"properties":{"noteIndex":0},"schema":"https://github.com/citation-style-language/schema/raw/master/csl-citation.json"}</w:instrText>
      </w:r>
      <w:r w:rsidR="00B40461" w:rsidRPr="00DB1F5C">
        <w:fldChar w:fldCharType="separate"/>
      </w:r>
      <w:r w:rsidR="00F70037" w:rsidRPr="00F70037">
        <w:rPr>
          <w:noProof/>
        </w:rPr>
        <w:t>[3]</w:t>
      </w:r>
      <w:r w:rsidR="00B40461" w:rsidRPr="00DB1F5C">
        <w:fldChar w:fldCharType="end"/>
      </w:r>
      <w:r w:rsidRPr="00DB1F5C">
        <w:t>. During 2000-2010, forest loss out to</w:t>
      </w:r>
      <w:r>
        <w:t xml:space="preserve"> 14.7 million hectares</w:t>
      </w:r>
      <w:r w:rsidR="00B40461">
        <w:fldChar w:fldCharType="begin" w:fldLock="1"/>
      </w:r>
      <w:r w:rsidR="00F70037">
        <w:instrText>ADDIN CSL_CITATION {"citationItems":[{"id":"ITEM-1","itemData":{"DOI":"10.1111/conl.12103","ISBN":"1755-263X","ISSN":"1755263X","abstract":"Indonesia contributes significantly to deforestation in Southeast Asia. However, much uncertainty remains over the relative contributions of various forest-exploiting sectors to forest losses in the country. Here, we compare the magnitudes of forest and carbon loss, and forest and carbon stocks remaining within oil palm plantation, logging, fiber plantation (pulp and paper), and coal mining concessions in Indonesia. Forest loss in all industrial concessions, including logging concessions, relate to the conversion of forest to non-forest land cover. We found that the four industries accounted for ~44.7% (~6.6 Mha) of forest loss in Kalimantan, Sumatra, Papua, Sulawesi, and Moluccas between 2000 and 2010. Fiber plantation and logging concessions accounted for the largest forest loss (~1.9 Mha and ~1.8 Mha, respectively). Although the oil palm industry is often highlighted as a major driver of deforestation, it was ranked third in terms of deforestation (~1 Mha), and second in terms of carbon dioxide emissions (~1,300 – 2,350 Mt CO2). Crucially, ~34.6% (~26.8 Mha) of Indonesia’s remaining forests is located within industrial concessions, the majority of which is found within logging concessions (~18.8 Mha). Hence, future development plans within Indonesia’s industrial sectors weigh heavily on the fate of Southeast Asia’s remaining forests and carbon stocks.","author":[{"dropping-particle":"","family":"Abood","given":"Sinan A.","non-dropping-particle":"","parse-names":false,"suffix":""},{"dropping-particle":"","family":"Lee","given":"Janice Ser Huay","non-dropping-particle":"","parse-names":false,"suffix":""},{"dropping-particle":"","family":"Burivalova","given":"Zuzana","non-dropping-particle":"","parse-names":false,"suffix":""},{"dropping-particle":"","family":"Garcia-Ulloa","given":"John","non-dropping-particle":"","parse-names":false,"suffix":""},{"dropping-particle":"","family":"Koh","given":"Lian Pin","non-dropping-particle":"","parse-names":false,"suffix":""}],"container-title":"Conservation Letters","id":"ITEM-1","issue":"1","issued":{"date-parts":[["2015"]]},"page":"58-67","title":"Relative Contributions of the Logging, Fiber, Oil Palm, and Mining Industries to Forest Loss in Indonesia","type":"article-journal","volume":"8"},"uris":["http://www.mendeley.com/documents/?uuid=a7401d05-6585-4793-9dd7-fb01e9473373"]}],"mendeley":{"formattedCitation":"[4]","plainTextFormattedCitation":"[4]","previouslyFormattedCitation":"(Abood et al., 2015)"},"properties":{"noteIndex":0},"schema":"https://github.com/citation-style-language/schema/raw/master/csl-citation.json"}</w:instrText>
      </w:r>
      <w:r w:rsidR="00B40461">
        <w:fldChar w:fldCharType="separate"/>
      </w:r>
      <w:r w:rsidR="00F70037" w:rsidRPr="00F70037">
        <w:rPr>
          <w:noProof/>
        </w:rPr>
        <w:t>[4]</w:t>
      </w:r>
      <w:r w:rsidR="00B40461">
        <w:fldChar w:fldCharType="end"/>
      </w:r>
      <w:r w:rsidRPr="00DB1F5C">
        <w:t xml:space="preserve">. Deforestation that occurs in 2017 was 480.010,8Ha, decreased from the previous year which was 629,177 Ha </w:t>
      </w:r>
      <w:r w:rsidR="00B40461" w:rsidRPr="00DB1F5C">
        <w:fldChar w:fldCharType="begin" w:fldLock="1"/>
      </w:r>
      <w:r w:rsidR="00F70037">
        <w:instrText>ADDIN CSL_CITATION {"citationItems":[{"id":"ITEM-1","itemData":{"author":[{"dropping-particle":"","family":"MEF [Ministry of Environment and Forestry Indonesia]","given":"","non-dropping-particle":"","parse-names":false,"suffix":""}],"id":"ITEM-1","issued":{"date-parts":[["2017"]]},"publisher-place":"Jakarta","title":"STATISTIK LINGKUNGAN HIDUP DAN KEHUTANAN TAHUN 2016","type":"book"},"uris":["http://www.mendeley.com/documents/?uuid=e6bd6c59-6fa3-4c02-adb0-fcca633b8c15"]},{"id":"ITEM-2","itemData":{"author":[{"dropping-particle":"","family":"MEF [Ministry of Environment and Forestry Indonesia]","given":"","non-dropping-particle":"","parse-names":false,"suffix":""}],"id":"ITEM-2","issued":{"date-parts":[["2018"]]},"publisher":"Ministry of Environment and Forestry Indonesia","publisher-place":"Jakarta","title":"STATISTIK LINGKUNGAN HIDUP DAN KEHUTANAN TAHUN 2017","type":"book"},"uris":["http://www.mendeley.com/documents/?uuid=435f8200-8264-4e38-8ee4-4a4b9d0d7189"]}],"mendeley":{"formattedCitation":"[5], [6]","manualFormatting":"(MEF, 2018b, 2017)","plainTextFormattedCitation":"[5], [6]","previouslyFormattedCitation":"(MEF [Ministry of Environment and Forestry Indonesia], 2018b, 2017)"},"properties":{"noteIndex":0},"schema":"https://github.com/citation-style-language/schema/raw/master/csl-citation.json"}</w:instrText>
      </w:r>
      <w:r w:rsidR="00B40461" w:rsidRPr="00DB1F5C">
        <w:fldChar w:fldCharType="separate"/>
      </w:r>
      <w:r w:rsidRPr="00DB1F5C">
        <w:rPr>
          <w:noProof/>
        </w:rPr>
        <w:t>(MEF, 2018b, 2017)</w:t>
      </w:r>
      <w:r w:rsidR="00B40461" w:rsidRPr="00DB1F5C">
        <w:fldChar w:fldCharType="end"/>
      </w:r>
      <w:r w:rsidRPr="00DB1F5C">
        <w:t xml:space="preserve"> Deforestation is causing growing population and transmigration policy and associated with </w:t>
      </w:r>
      <w:proofErr w:type="spellStart"/>
      <w:r w:rsidRPr="00DB1F5C">
        <w:t>theexpansion</w:t>
      </w:r>
      <w:proofErr w:type="spellEnd"/>
      <w:r w:rsidRPr="00DB1F5C">
        <w:t xml:space="preserve"> of agricultural land </w:t>
      </w:r>
      <w:r w:rsidR="00B40461" w:rsidRPr="00DB1F5C">
        <w:fldChar w:fldCharType="begin" w:fldLock="1"/>
      </w:r>
      <w:r w:rsidR="00F70037">
        <w:instrText>ADDIN CSL_CITATION {"citationItems":[{"id":"ITEM-1","itemData":{"DOI":"10.1016/B978-0-12-809665-9.09527-6","ISBN":"978-0-12-409548-9","ISSN":"0002-9297","PMID":"17701908","abstract":"Abstract Forests provide critical ecosystem services, including regulating the earth's climate and watersheds, and contributing to livelihoods worldwide. Growing international attention on the issue of deforestation demands accurate, precise, and consistent systems for monitoring forest changes at appropriate scales. However, the vastness and remoteness of forests present a significant challenge to producing good information in a timely matter. This module reviews the current global systems for monitoring changes in forest area, their policy applications, and advancements anticipated for the future. ","author":[{"dropping-particle":"","family":"Davis","given":"C.","non-dropping-particle":"","parse-names":false,"suffix":""},{"dropping-particle":"","family":"Petersen","given":"R.","non-dropping-particle":"","parse-names":false,"suffix":""}],"container-title":"Encyclopedia of the Anthropocene","id":"ITEM-1","issued":{"date-parts":[["2018"]]},"number-of-pages":"313-320","publisher":"Elsevier Inc.","title":"Tools for Monitoring Global Deforestation","type":"book"},"uris":["http://www.mendeley.com/documents/?uuid=e2afb186-7418-4116-820f-6d3312c67c30"]},{"id":"ITEM-2","itemData":{"DOI":"10.1016/j.landusepol.2016.05.034","ISBN":"0264-8377","ISSN":"02648377","abstract":"To clarify the causes and history of forest loss in Indonesia from 1950 to 2015, we compiled and analyzed national-level statistics and literature relating to forest cover change. In 1950, nearly 159.0 Mha (87.0%) of the total land area (182.7 million hectares or Mha) in Indonesia was estimated to be covered by forest. Between 1950 and 1997, 59.0 Mha of forest was deforested, while 7.1 Mha of arable land, 10.2 Mha of permanent crop, and 41.7 Mha of \"other\" land category were increased. Between 1997 and 2015, 5.6 Mha of arable land and 11.3 Mha of land for permanent crop were increased, while 9.0 Mha of forest and 7.9 Mha of the \"other\" category decreased. Prior to 1970, no trend of severe forest loss was apparent. Between 1970 and the mid-1990s, export-oriented log production and global demand were the primary pressures underlying deforestation. Cultivation of rice and other crops was also found to be associated with a growing population and transmigration policy. Moreover, deregulation of foreign investment in the 1980s appears to have led to expansion of an export-oriented industry, including commercial crop and log production. Between the mid-1990s and 2015, imbalance between global demand and production of Indonesian timber and oil palm led to illegal or non-sustainable timber harvest and expansion of permanent agricultural areas. Since 2011, regulation of forestry practices coupled with a tree planting movement have been promoted, resulting in the amelioration of deforestation rates.","author":[{"dropping-particle":"","family":"Tsujino","given":"Riyou","non-dropping-particle":"","parse-names":false,"suffix":""},{"dropping-particle":"","family":"Yumoto","given":"Takakazu","non-dropping-particle":"","parse-names":false,"suffix":""},{"dropping-particle":"","family":"Kitamura","given":"Shumpei","non-dropping-particle":"","parse-names":false,"suffix":""},{"dropping-particle":"","family":"Djamaluddin","given":"Ibrahim","non-dropping-particle":"","parse-names":false,"suffix":""},{"dropping-particle":"","family":"Darnaedi","given":"Dedy","non-dropping-particle":"","parse-names":false,"suffix":""}],"container-title":"Land Use Policy","id":"ITEM-2","issued":{"date-parts":[["2016"]]},"page":"335-347","publisher":"Elsevier Ltd","title":"History of forest loss and degradation in Indonesia","type":"article-journal","volume":"57"},"uris":["http://www.mendeley.com/documents/?uuid=b677f2f4-71d2-4fc2-b6a6-29bd7d9dc425"]},{"id":"ITEM-3","itemData":{"DOI":"10.1016/j.worlddev.2018.10.001","ISSN":"0305750X","abstract":"Tel: +81-(0)95-819-2724 1 Abstract We examine how forest cover change can affect agricultural produc-tivity using household panel data and remote sensing data on forest loss. The focus is on rural Indonesia where the intensive forest loss is happened and the agriculture is main industry. We estimate an agri-cultural production function and find that farmers experienced reduc-tion of agricultural productivity by forest loss in settlement area. We estimate the total positive value of forest conservation on agricultural production to be $XXXX across the rural Indonesia.","author":[{"dropping-particle":"","family":"Yamamoto","given":"Choki","non-dropping-particle":"","parse-names":false,"suffix":""},{"dropping-particle":"","family":"Ishimura","given":"Choichi","non-dropping-particle":"","parse-names":false,"suffix":""},{"dropping-particle":"","family":"Shigetomi","given":"Chosuke","non-dropping-particle":"","parse-names":false,"suffix":""},{"dropping-particle":"","family":"Chobe","given":"Cho","non-dropping-particle":"","parse-names":false,"suffix":""}],"container-title":"World Development","id":"ITEM-3","issued":{"date-parts":[["2019"]]},"page":"196-207","publisher":"Elsevier Ltd","title":"Forest change and agricultural productivity: Evidence from Indonesia","type":"article-journal","volume":"114"},"uris":["http://www.mendeley.com/documents/?uuid=8f98cc38-e68f-4c50-b9b4-cba1996a1702"]},{"id":"ITEM-4","itemData":{"DOI":"10.1016/j.ecolecon.2018.01.021","ISBN":"4955139221","ISSN":"09218009","abstract":"The expansion of agricultural land remains one of the main drivers of deforestation in tropical regions. Stronger land property rights could possibly enable farmers to increase input intensity and productivity on the already cultivated land, thus reducing incentives to expand their farms by deforesting additional land. This hypothesis is tested with data from a panel survey of farm households in Sumatra. The survey data are combined with satellite imageries to account for spatial patterns, such as historical forest locations. Results show that plots for which farmers hold formal land titles are cultivated more intensively and are more productive than untitled plots. However, due to land policy restrictions, farmers located at the historic forest margins often do not hold formal titles. Without land titles, these farmers are less able to intensify and more likely to expand into the surrounding forest land to increase agricultural output. Indeed, forest closeness and past deforestation activities by households are found to be positively associated with current farm size. In addition to improving farmer's access to land titles for non-forest land, better recognition of customary land rights and more effective protection of forest land without recognized claims could be useful policy responses.","author":[{"dropping-particle":"","family":"Kubitza","given":"Christoph","non-dropping-particle":"","parse-names":false,"suffix":""},{"dropping-particle":"V.","family":"Krishna","given":"Vijesh","non-dropping-particle":"","parse-names":false,"suffix":""},{"dropping-particle":"","family":"Urban","given":"Kira","non-dropping-particle":"","parse-names":false,"suffix":""},{"dropping-particle":"","family":"Alamsyah","given":"Zulkifli","non-dropping-particle":"","parse-names":false,"suffix":""},{"dropping-particle":"","family":"Qaim","given":"Matin","non-dropping-particle":"","parse-names":false,"suffix":""}],"container-title":"Ecological Economics","id":"ITEM-4","issue":"February","issued":{"date-parts":[["2018"]]},"page":"312-321","title":"Land Property Rights, Agricultural Intensification, and Deforestation in Indonesia","type":"article-journal","volume":"147"},"uris":["http://www.mendeley.com/documents/?uuid=53c97a8f-51ff-4d0b-a7af-12b0781039c9"]}],"mendeley":{"formattedCitation":"[1], [3], [7], [8]","plainTextFormattedCitation":"[1], [3], [7], [8]","previouslyFormattedCitation":"(Davis and Petersen, 2018; Kubitza et al., 2018; Tsujino et al., 2016; Yamamoto et al., 2019)"},"properties":{"noteIndex":0},"schema":"https://github.com/citation-style-language/schema/raw/master/csl-citation.json"}</w:instrText>
      </w:r>
      <w:r w:rsidR="00B40461" w:rsidRPr="00DB1F5C">
        <w:fldChar w:fldCharType="separate"/>
      </w:r>
      <w:r w:rsidR="00F70037" w:rsidRPr="00F70037">
        <w:rPr>
          <w:noProof/>
        </w:rPr>
        <w:t>[1], [3], [7], [8]</w:t>
      </w:r>
      <w:r w:rsidR="00B40461" w:rsidRPr="00DB1F5C">
        <w:fldChar w:fldCharType="end"/>
      </w:r>
      <w:r w:rsidRPr="00DB1F5C">
        <w:t xml:space="preserve"> especially for cultivated land or oil palm plantation by farmers and companies </w:t>
      </w:r>
      <w:r w:rsidR="00B40461" w:rsidRPr="00DB1F5C">
        <w:fldChar w:fldCharType="begin" w:fldLock="1"/>
      </w:r>
      <w:r w:rsidR="00F70037">
        <w:instrText>ADDIN CSL_CITATION {"citationItems":[{"id":"ITEM-1","itemData":{"DOI":"10.1016/j.forpol.2016.09.009","ISBN":"1389-9341","ISSN":"13899341","abstract":"Indonesia experienced massive deforestation in the last decades where\\nrapid oil palm expansion has been considered as one of the main drivers.\\nThis article shows that the process of deforestation and the rapid oil\\npalm expansion cannot be viewed in isolation from broader development\\ncontexts. Various actors at local, national, and global levels have used\\ndevelopment narratives and poverty alleviation through various policies\\nand institutional setting to create spaces and opportunities for oil\\npalm development. These actors also deliberately created the notion of\\nforest crisis by omitting the values of forest environmental services to\\njustify forest conversion into oil palm plantations. These multiple\\nfactors shaped the speed and the direction of oil palm expansion in\\nIndonesia. This rapid oil palm expansion in Indonesia has resulted in\\nmassive LUCC and serious environmental problems. Given these\\ncomplexities, a single policy will not be sufficient when it comes to\\nmanaging the consequences of rapid oil palm expansion in Indonesia. (C)\\n2016 Elsevier B.V. All rights reserved.","author":[{"dropping-particle":"","family":"Susanti","given":"Ari","non-dropping-particle":"","parse-names":false,"suffix":""},{"dropping-particle":"","family":"Maryudi","given":"Ahmad","non-dropping-particle":"","parse-names":false,"suffix":""}],"container-title":"Forest Policy and Economics","id":"ITEM-1","issued":{"date-parts":[["2016"]]},"page":"130-139","publisher":"Elsevier B.V.","title":"Development narratives, notions of forest crisis, and boom of oil palm plantations in Indonesia","type":"article-journal","volume":"73"},"uris":["http://www.mendeley.com/documents/?uuid=4886a0ec-03d9-4839-9997-ee565ac091e9"]},{"id":"ITEM-2","itemData":{"DOI":"10.1016/j.forpol.2018.05.002","ISBN":"1389-9341","ISSN":"13899341","abstract":"Intensification and expansion are two essential tenets of commercial agriculture. This paper analyses trends of intensification and expansion at the national level, particularly in the oil palm sector in Indonesia and Malaysia. Despite similar starting points and also comparable rates of increasing productivity and profit in this sector, both countries have developed almost opposite trajectories of land use. While both intensification and expansion has occurred in these countries, national indicators show that Malaysia has largely pursued intensification while Indonesia has overwhelmingly favoured expansion. Using the framework of the Jevons paradox, this paper contributes to the existing literature by arguing how and why political and social factors, rather than technology and market incentives, can better account for the differences between yield and land use efficiency in Indonesia and Malaysia today. The paper argues that expansion in Malaysia has been curtailed by the Malaysian government's pledge to maintain at least 50% forest cover in the late 1990s, coupled with a government supported corporate strategy of establishing plantations in Indonesia. Indonesia has made no such pledge, leading to expansionist policies focused on market creation and production goals with limited incentives for technology-driven intensification. It also notes however that in recent years, new socio-political developments in both countries may yet change this clear dichotomy of opposing land use strategies between these two countries, namely Sarawak's recent autonomous tendencies over land use and Indonesia's new leadership and international No Deforestation Peat and Exploitation (NDPE) commitments.","author":[{"dropping-particle":"","family":"Varkkey","given":"Helena","non-dropping-particle":"","parse-names":false,"suffix":""},{"dropping-particle":"","family":"Tyson","given":"Adam","non-dropping-particle":"","parse-names":false,"suffix":""},{"dropping-particle":"","family":"Choiruzzad","given":"Shofwan Al Banna","non-dropping-particle":"","parse-names":false,"suffix":""}],"container-title":"Forest Policy and Economics","id":"ITEM-2","issue":"May","issued":{"date-parts":[["2018"]]},"page":"148-159","title":"Palm oil intensification and expansion in Indonesia and Malaysia: Environmental and socio-political factors influencing policy","type":"article-journal","volume":"92"},"uris":["http://www.mendeley.com/documents/?uuid=cea98f9c-632e-4310-8362-7979c43758ae"]}],"mendeley":{"formattedCitation":"[9], [10]","plainTextFormattedCitation":"[9], [10]","previouslyFormattedCitation":"(Susanti and Maryudi, 2016; Varkkey et al., 2018)"},"properties":{"noteIndex":0},"schema":"https://github.com/citation-style-language/schema/raw/master/csl-citation.json"}</w:instrText>
      </w:r>
      <w:r w:rsidR="00B40461" w:rsidRPr="00DB1F5C">
        <w:fldChar w:fldCharType="separate"/>
      </w:r>
      <w:r w:rsidR="00F70037" w:rsidRPr="00F70037">
        <w:rPr>
          <w:noProof/>
        </w:rPr>
        <w:t>[9], [10]</w:t>
      </w:r>
      <w:r w:rsidR="00B40461" w:rsidRPr="00DB1F5C">
        <w:fldChar w:fldCharType="end"/>
      </w:r>
      <w:r w:rsidRPr="00DB1F5C">
        <w:t xml:space="preserve">. </w:t>
      </w:r>
      <w:r w:rsidR="00BB78D6" w:rsidRPr="00BB78D6">
        <w:t>This is a trigger for land conflicts</w:t>
      </w:r>
      <w:r w:rsidR="00B40461">
        <w:fldChar w:fldCharType="begin" w:fldLock="1"/>
      </w:r>
      <w:r w:rsidR="00F70037">
        <w:instrText>ADDIN CSL_CITATION {"citationItems":[{"id":"ITEM-1","itemData":{"DOI":"10.1016/j.landusepol.2016.08.003","ISSN":"0264-8377","author":[{"dropping-particle":"","family":"Setiawan","given":"Eko N","non-dropping-particle":"","parse-names":false,"suffix":""},{"dropping-particle":"","family":"Maryudi","given":"Ahmad","non-dropping-particle":"","parse-names":false,"suffix":""},{"dropping-particle":"","family":"Purwanto","given":"Ris H","non-dropping-particle":"","parse-names":false,"suffix":""},{"dropping-particle":"","family":"Lele","given":"Gabriel","non-dropping-particle":"","parse-names":false,"suffix":""}],"container-title":"Land Use Policy","id":"ITEM-1","issued":{"date-parts":[["2016"]]},"page":"472-481","publisher":"Elsevier Ltd","title":"Land Use Policy Opposing interests in the legalization of non-procedural forest conversion to oil palm in Central Kalimantan , Indonesia","type":"article-journal","volume":"58"},"uris":["http://www.mendeley.com/documents/?uuid=4d18c5f3-03e9-4df3-9765-f2049626945d"]}],"mendeley":{"formattedCitation":"[11]","plainTextFormattedCitation":"[11]","previouslyFormattedCitation":"(Setiawan et al., 2016)"},"properties":{"noteIndex":0},"schema":"https://github.com/citation-style-language/schema/raw/master/csl-citation.json"}</w:instrText>
      </w:r>
      <w:r w:rsidR="00B40461">
        <w:fldChar w:fldCharType="separate"/>
      </w:r>
      <w:r w:rsidR="00F70037" w:rsidRPr="00F70037">
        <w:rPr>
          <w:noProof/>
        </w:rPr>
        <w:t>[11]</w:t>
      </w:r>
      <w:r w:rsidR="00B40461">
        <w:fldChar w:fldCharType="end"/>
      </w:r>
      <w:r w:rsidR="00C845F3" w:rsidRPr="00C845F3">
        <w:t>so that a solution is needed in the form of forest management with the community</w:t>
      </w:r>
      <w:r w:rsidR="00B40461">
        <w:fldChar w:fldCharType="begin" w:fldLock="1"/>
      </w:r>
      <w:r w:rsidR="00F70037">
        <w:instrText>ADDIN CSL_CITATION {"citationItems":[{"id":"ITEM-1","itemData":{"ISBN":"9786021616529","author":[{"dropping-particle":"","family":"Adnan","given":"Hasantoha","non-dropping-particle":"","parse-names":false,"suffix":""},{"dropping-particle":"","family":"Berliani","given":"Hasbi","non-dropping-particle":"","parse-names":false,"suffix":""},{"dropping-particle":"","family":"Hardiyanto","given":"Gladi","non-dropping-particle":"","parse-names":false,"suffix":""},{"dropping-particle":"","family":"Suwito","given":"","non-dropping-particle":"","parse-names":false,"suffix":""},{"dropping-particle":"","family":"Sakti","given":"Danang Kuncoro","non-dropping-particle":"","parse-names":false,"suffix":""}],"id":"ITEM-1","issued":{"date-parts":[["2015"]]},"number-of-pages":"160","title":"Pemberdayaan Masyarakat melalui Kemitraan Kehutanan. Panduan","type":"book"},"uris":["http://www.mendeley.com/documents/?uuid=15675aef-0d9d-4c0d-a25e-90efef561beb"]}],"mendeley":{"formattedCitation":"[12]","plainTextFormattedCitation":"[12]","previouslyFormattedCitation":"(Adnan et al., 2015)"},"properties":{"noteIndex":0},"schema":"https://github.com/citation-style-language/schema/raw/master/csl-citation.json"}</w:instrText>
      </w:r>
      <w:r w:rsidR="00B40461">
        <w:fldChar w:fldCharType="separate"/>
      </w:r>
      <w:r w:rsidR="00F70037" w:rsidRPr="00F70037">
        <w:rPr>
          <w:noProof/>
        </w:rPr>
        <w:t>[12]</w:t>
      </w:r>
      <w:r w:rsidR="00B40461">
        <w:fldChar w:fldCharType="end"/>
      </w:r>
      <w:r w:rsidR="00C845F3" w:rsidRPr="00C845F3">
        <w:t>to balance development and conservation</w:t>
      </w:r>
      <w:r w:rsidR="00B40461">
        <w:fldChar w:fldCharType="begin" w:fldLock="1"/>
      </w:r>
      <w:r w:rsidR="00F70037">
        <w:instrText>ADDIN CSL_CITATION {"citationItems":[{"id":"ITEM-1","itemData":{"DOI":"10.1016/j.forpol.2014.11.009","author":[{"dropping-particle":"","family":"Giessen","given":"Lukas","non-dropping-particle":"","parse-names":false,"suffix":""},{"dropping-particle":"","family":"Buttoud","given":"Gerard","non-dropping-particle":"","parse-names":false,"suffix":""}],"container-title":"Forest Policy and Economics journal","id":"ITEM-1","issued":{"date-parts":[["2014"]]},"page":"1-3","title":"Defining and assessing forest governance","type":"article-journal","volume":"49"},"uris":["http://www.mendeley.com/documents/?uuid=c24ada32-88a1-4280-98e9-57005070a466"]}],"mendeley":{"formattedCitation":"[13]","plainTextFormattedCitation":"[13]","previouslyFormattedCitation":"(Giessen and Buttoud, 2014)"},"properties":{"noteIndex":0},"schema":"https://github.com/citation-style-language/schema/raw/master/csl-citation.json"}</w:instrText>
      </w:r>
      <w:r w:rsidR="00B40461">
        <w:fldChar w:fldCharType="separate"/>
      </w:r>
      <w:r w:rsidR="00F70037" w:rsidRPr="00F70037">
        <w:rPr>
          <w:noProof/>
        </w:rPr>
        <w:t>[13]</w:t>
      </w:r>
      <w:r w:rsidR="00B40461">
        <w:fldChar w:fldCharType="end"/>
      </w:r>
      <w:r w:rsidR="00C845F3" w:rsidRPr="00C845F3">
        <w:t xml:space="preserve">in the form of reducing community poverty, empowering it and improving forest conditions </w:t>
      </w:r>
      <w:r w:rsidR="00B40461">
        <w:fldChar w:fldCharType="begin" w:fldLock="1"/>
      </w:r>
      <w:r w:rsidR="00F70037">
        <w:instrText>ADDIN CSL_CITATION {"citationItems":[{"id":"ITEM-1","itemData":{"DOI":"10.1016/j.forpol.2011.07.017","ISSN":"1389-9341","author":[{"dropping-particle":"","family":"Maryudi","given":"Ahmad","non-dropping-particle":"","parse-names":false,"suffix":""},{"dropping-particle":"","family":"Devkota","given":"Rosan R","non-dropping-particle":"","parse-names":false,"suffix":""},{"dropping-particle":"","family":"Schusser","given":"Carsten","non-dropping-particle":"","parse-names":false,"suffix":""},{"dropping-particle":"","family":"Yufanyi","given":"Cornelius","non-dropping-particle":"","parse-names":false,"suffix":""},{"dropping-particle":"","family":"Salla","given":"Manjola","non-dropping-particle":"","parse-names":false,"suffix":""},{"dropping-particle":"","family":"Aurenhammer","given":"Helene","non-dropping-particle":"","parse-names":false,"suffix":""},{"dropping-particle":"","family":"Rotchanaphatharawit","given":"Ratchananth","non-dropping-particle":"","parse-names":false,"suffix":""},{"dropping-particle":"","family":"Krott","given":"Max","non-dropping-particle":"","parse-names":false,"suffix":""}],"container-title":"Forest Policy and Economics","id":"ITEM-1","issue":"1","issued":{"date-parts":[["2012"]]},"page":"1-5","publisher":"Elsevier B.V.","title":"Back to basics : Considerations in evaluating the outcomes of community forestry","type":"article-journal","volume":"14"},"uris":["http://www.mendeley.com/documents/?uuid=6dd6176d-8444-465b-9c52-158c8666e0d5"]},{"id":"ITEM-2","itemData":{"DOI":"10.1016/j.gloenvcha.2017.08.002","ISBN":"0959-3780","ISSN":"09593780","abstract":"Community forest management has been identified as a win-win option for reducing deforestation while improving the welfare of rural communities in developing countries. Despite considerable investment in community forestry globally, systematic evaluations of the impact of these policies at appropriate scales are lacking. We assessed the extent to which deforestation has been avoided as a result of the Indonesian government's community forestry scheme, Hutan Desa (Village Forest). We used annual data on deforestation rates between 2012 and 2016 from two rapidly developing islands: Sumatra and Kalimantan. The total area of Hutan Desa increased from 750 km2in 2012 to 2500 km2in 2016. We applied a spatial matching approach to account for biophysical variables affecting deforestation and Hutan Desa selection criteria. Performance was assessed relative to a counterfactual likelihood of deforestation in the absence of Hutan Desa tenure. We found that Hutan Desa management has successfully achieved avoided deforestation overall, but performance has been increasingly variable through time. Hutan Desa performance was influenced by anthropogenic and climatic factors, as well as land use history. Hutan Desa allocated on watershed protection forest or limited production forest typically led to a less avoided deforestation regardless of location. Conversely, Hutan Desa granted on permanent or convertible production forest had variable performance across different years and locations. The amount of rainfall during the dry season in any given year was an important climatic factor influencing performance. Extremely dry conditions during drought years pose additional challenges to Hutan Desa management, particularly on peatland, due to increased vulnerability to fire outbreaks. This study demonstrates how the performance of Hutan Desa in avoiding deforestation is fundamentally affected by biophysical and anthropogenic circumstances over time and space. Our study improves understanding on where and when the policy is most effective with respect to deforestation, and helps identify opportunities to improve policy implementation. This provides an important first step towards evaluating the overall effectiveness of this policy in achieving both social and environmental goals.","author":[{"dropping-particle":"","family":"Santika","given":"Truly","non-dropping-particle":"","parse-names":false,"suffix":""},{"dropping-particle":"","family":"Meijaard","given":"Erik","non-dropping-particle":"","parse-names":false,"suffix":""},{"dropping-particle":"","family":"Budiharta","given":"Sugeng","non-dropping-particle":"","parse-names":false,"suffix":""},{"dropping-particle":"","family":"Law","given":"Elizabeth A.","non-dropping-particle":"","parse-names":false,"suffix":""},{"dropping-particle":"","family":"Kusworo","given":"Ahmad","non-dropping-particle":"","parse-names":false,"suffix":""},{"dropping-particle":"","family":"Hutabarat","given":"Joseph A.","non-dropping-particle":"","parse-names":false,"suffix":""},{"dropping-particle":"","family":"Indrawan","given":"Tito P.","non-dropping-particle":"","parse-names":false,"suffix":""},{"dropping-particle":"","family":"Struebig","given":"Matthew","non-dropping-particle":"","parse-names":false,"suffix":""},{"dropping-particle":"","family":"Raharjo","given":"Sugeng","non-dropping-particle":"","parse-names":false,"suffix":""},{"dropping-particle":"","family":"Huda","given":"Imanul","non-dropping-particle":"","parse-names":false,"suffix":""},{"dropping-particle":"","family":"Sulhani","given":"","non-dropping-particle":"","parse-names":false,"suffix":""},{"dropping-particle":"","family":"Ekaputri","given":"Andini D.","non-dropping-particle":"","parse-names":false,"suffix":""},{"dropping-particle":"","family":"Trison","given":"Soni","non-dropping-particle":"","parse-names":false,"suffix":""},{"dropping-particle":"","family":"Stigner","given":"Madeleine","non-dropping-particle":"","parse-names":false,"suffix":""},{"dropping-particle":"","family":"Wilson","given":"Kerrie A.","non-dropping-particle":"","parse-names":false,"suffix":""}],"container-title":"Global Environmental Change","id":"ITEM-2","issue":"December 2016","issued":{"date-parts":[["2017"]]},"page":"60-71","publisher":"Elsevier Ltd","title":"Community forest management in Indonesia: Avoided deforestation in the context of anthropogenic and climate complexities","type":"article-journal","volume":"46"},"uris":["http://www.mendeley.com/documents/?uuid=5cfbdbf7-71e8-4538-bff7-8261daa9268d"]},{"id":"ITEM-3","itemData":{"DOI":"10.1016/j.gloenvcha.2015.09.011","ISBN":"09593780 (ISSN)","ISSN":"09593780","abstract":"While community forestry has shown promise to reduce rural poverty, improve reforestation and potentially offset carbon emissions, many projects have failed, either partly or completely. In order to understand why community forestry succeeds or fails, we examined in detail the literature related to community forestry from three countries, Mexico, Nepal and the Philippines. We also drew on experiences in other countries in Asia, Latin America and Africa. We identified five main interconnected factors which the literature suggests are often critical to the success of community forestry. To integrate the many ways in which community forestry projects can improve the state of these factors, we use the concept of 'bonding social capital', i.e. communities' ability to work together towards a common aim and 'bridging social capital', i.e. their ability to liaise with the outside world. To understand the interaction of the five success factors and the way in which improvements to bonding or bridging social capital may affect them, we developed a causal diagram which depicts the interrelationships between the success factors and the key points at which project inputs may be best applied. It is clear from our analysis that failing to appreciate both the complexity and interaction of the various influences may lead to project failure.","author":[{"dropping-particle":"","family":"Baynes","given":"Jack","non-dropping-particle":"","parse-names":false,"suffix":""},{"dropping-particle":"","family":"Herbohn","given":"John","non-dropping-particle":"","parse-names":false,"suffix":""},{"dropping-particle":"","family":"Smith","given":"Carl","non-dropping-particle":"","parse-names":false,"suffix":""},{"dropping-particle":"","family":"Fisher","given":"Robert","non-dropping-particle":"","parse-names":false,"suffix":""},{"dropping-particle":"","family":"Bray","given":"David","non-dropping-particle":"","parse-names":false,"suffix":""}],"container-title":"Global Environmental Change","id":"ITEM-3","issued":{"date-parts":[["2015"]]},"page":"226-238","publisher":"Elsevier Ltd","title":"Key factors which influence the success of community forestry in developing countries","type":"article-journal","volume":"35"},"uris":["http://www.mendeley.com/documents/?uuid=a4434a49-e34e-4264-9331-f2e4b7522123"]},{"id":"ITEM-4","itemData":{"author":[{"dropping-particle":"","family":"Agustini Syofia","given":"","non-dropping-particle":"","parse-names":false,"suffix":""},{"dropping-particle":"","family":"Dharmawan","given":"Arya Hadi","non-dropping-particle":"","parse-names":false,"suffix":""},{"dropping-particle":"","family":"Putri","given":"Eka Intan Kumala","non-dropping-particle":"","parse-names":false,"suffix":""}],"container-title":"Bhumi","id":"ITEM-4","issue":"November","issued":{"date-parts":[["2017"]]},"page":"267-278","title":"Bentuk Pengelolaan Hutan Nagari Sungai Buluh Kabupaten Padang Pariaman","type":"article-journal","volume":"3"},"uris":["http://www.mendeley.com/documents/?uuid=52318ec9-ea09-4a33-85d5-f0ca79bdd70d"]}],"mendeley":{"formattedCitation":"[14]–[17]","plainTextFormattedCitation":"[14]–[17]","previouslyFormattedCitation":"(Agustini Syofia et al., 2017; Baynes et al., 2015; Maryudi et al., 2012; Santika et al., 2017)"},"properties":{"noteIndex":0},"schema":"https://github.com/citation-style-language/schema/raw/master/csl-citation.json"}</w:instrText>
      </w:r>
      <w:r w:rsidR="00B40461">
        <w:fldChar w:fldCharType="separate"/>
      </w:r>
      <w:r w:rsidR="00F70037" w:rsidRPr="00F70037">
        <w:rPr>
          <w:noProof/>
        </w:rPr>
        <w:t>[14]–[17]</w:t>
      </w:r>
      <w:r w:rsidR="00B40461">
        <w:fldChar w:fldCharType="end"/>
      </w:r>
      <w:r w:rsidR="00F065F6">
        <w:t xml:space="preserve">. </w:t>
      </w:r>
      <w:r w:rsidR="00C845F3" w:rsidRPr="00C845F3">
        <w:t xml:space="preserve">One of the concrete efforts made by the government is through social forestry policy </w:t>
      </w:r>
      <w:r w:rsidR="00B40461">
        <w:fldChar w:fldCharType="begin" w:fldLock="1"/>
      </w:r>
      <w:r w:rsidR="00F70037">
        <w:instrText>ADDIN CSL_CITATION {"citationItems":[{"id":"ITEM-1","itemData":{"author":[{"dropping-particle":"","family":"Santoso","given":"Iman","non-dropping-particle":"","parse-names":false,"suffix":""}],"id":"ITEM-1","issue":"October","issued":{"date-parts":[["2012"]]},"title":"Indonesian forestry policy and management","type":"speech"},"uris":["http://www.mendeley.com/documents/?uuid=80643a8a-dc9d-4b91-aeab-1ef292324bcc"]}],"mendeley":{"formattedCitation":"[18]","plainTextFormattedCitation":"[18]","previouslyFormattedCitation":"(Santoso, 2012)"},"properties":{"noteIndex":0},"schema":"https://github.com/citation-style-language/schema/raw/master/csl-citation.json"}</w:instrText>
      </w:r>
      <w:r w:rsidR="00B40461">
        <w:fldChar w:fldCharType="separate"/>
      </w:r>
      <w:r w:rsidR="00F70037" w:rsidRPr="00F70037">
        <w:rPr>
          <w:noProof/>
        </w:rPr>
        <w:t>[18]</w:t>
      </w:r>
      <w:r w:rsidR="00B40461">
        <w:fldChar w:fldCharType="end"/>
      </w:r>
      <w:r w:rsidR="00C845F3" w:rsidRPr="00C845F3">
        <w:t>which has been a global trend for the past 2 decades</w:t>
      </w:r>
      <w:r w:rsidR="00B40461">
        <w:fldChar w:fldCharType="begin" w:fldLock="1"/>
      </w:r>
      <w:r w:rsidR="00F70037">
        <w:instrText>ADDIN CSL_CITATION {"citationItems":[{"id":"ITEM-1","itemData":{"DOI":"10.1016/j.forpol.2014.12.005","ISSN":"1389-9341","author":[{"dropping-particle":"","family":"Furness","given":"Ella","non-dropping-particle":"","parse-names":false,"suffix":""},{"dropping-particle":"","family":"Harshaw","given":"Howard","non-dropping-particle":"","parse-names":false,"suffix":""},{"dropping-particle":"","family":"Nelson","given":"Harry","non-dropping-particle":"","parse-names":false,"suffix":""}],"container-title":"Fore</w:instrText>
      </w:r>
      <w:r w:rsidR="00F70037">
        <w:rPr>
          <w:rFonts w:hint="eastAsia"/>
        </w:rPr>
        <w:instrText>st Policy and Economics","id":"ITEM-1","issued":{"date-parts":[["2015"]]},"page":"85-91","publisher":"Elsevier B.V.","title":"Forest Policy and Economics Community forestry in British Columbia : Policy progression and public participation ☆","type":"artic</w:instrText>
      </w:r>
      <w:r w:rsidR="00F70037">
        <w:instrText>le-journal","volume":"58"},"uris":["http://www.mendeley.com/documents/?uuid=61642251-9d9a-4eac-ba6e-f9d65721f9fc"]}],"mendeley":{"formattedCitation":"[19]","plainTextFormattedCitation":"[19]","previouslyFormattedCitation":"(Furness et al., 2015)"},"properties":{"noteIndex":0},"schema":"https://github.com/citation-style-language/schema/raw/master/csl-citation.json"}</w:instrText>
      </w:r>
      <w:r w:rsidR="00B40461">
        <w:fldChar w:fldCharType="separate"/>
      </w:r>
      <w:r w:rsidR="00F70037" w:rsidRPr="00F70037">
        <w:rPr>
          <w:noProof/>
        </w:rPr>
        <w:t>[19]</w:t>
      </w:r>
      <w:r w:rsidR="00B40461">
        <w:fldChar w:fldCharType="end"/>
      </w:r>
      <w:r w:rsidR="00F065F6">
        <w:t>.</w:t>
      </w:r>
    </w:p>
    <w:p w:rsidR="00F065F6" w:rsidRDefault="00EB1FC7" w:rsidP="0045178E">
      <w:pPr>
        <w:rPr>
          <w:szCs w:val="24"/>
        </w:rPr>
      </w:pPr>
      <w:r w:rsidRPr="00EB1FC7">
        <w:t xml:space="preserve">This policy is an implementation of the mandate of Law No. 41 of 1999 concerning Forestry, which is stated in article 3 letter d that the implementation of forestry aims to maximize the prosperity of the people that is just and sustainable by increasing the capacity to develop capacity and empower participatory, fair and environmentally sound so as to create social and economic resilience as well as external change. In addition to this article the participation and rights of the community in forestry development are also regulated in articles 23, 67, 68, 69 and 70 </w:t>
      </w:r>
      <w:r w:rsidR="00B40461">
        <w:rPr>
          <w:szCs w:val="24"/>
        </w:rPr>
        <w:fldChar w:fldCharType="begin" w:fldLock="1"/>
      </w:r>
      <w:r w:rsidR="00F70037">
        <w:rPr>
          <w:szCs w:val="24"/>
        </w:rPr>
        <w:instrText>ADDIN CSL_CITATION {"citationItems":[{"id":"ITEM-1","itemData":{"author":[{"dropping-particle":"","family":"Republik Indonesia","given":"","non-dropping-particle":"","parse-names":false,"suffix":""}],"id":"ITEM-1","issued":{"date-parts":[["1999"]]},"publisher-place":"Indonesia","title":"UNDANG-UNDANG REPUBLIK INDONESIA NOMOR 41 TAHUN 1999 TENTANG KEHUTANAN","type":"legislation"},"uris":["http://www.mendeley.com/documents/?uuid=b1bafb8e-1ec9-4237-b650-8e92cccb8f45"]}],"mendeley":{"formattedCitation":"[20]","plainTextFormattedCitation":"[20]","previouslyFormattedCitation":"(Republik Indonesia, 1999)"},"properties":{"noteIndex":0},"schema":"https://github.com/citation-style-language/schema/raw/master/csl-citation.json"}</w:instrText>
      </w:r>
      <w:r w:rsidR="00B40461">
        <w:rPr>
          <w:szCs w:val="24"/>
        </w:rPr>
        <w:fldChar w:fldCharType="separate"/>
      </w:r>
      <w:r w:rsidR="00F70037" w:rsidRPr="00F70037">
        <w:rPr>
          <w:noProof/>
          <w:szCs w:val="24"/>
        </w:rPr>
        <w:t>[20]</w:t>
      </w:r>
      <w:r w:rsidR="00B40461">
        <w:rPr>
          <w:szCs w:val="24"/>
        </w:rPr>
        <w:fldChar w:fldCharType="end"/>
      </w:r>
      <w:r w:rsidR="00F065F6">
        <w:rPr>
          <w:szCs w:val="24"/>
        </w:rPr>
        <w:t xml:space="preserve">. </w:t>
      </w:r>
    </w:p>
    <w:p w:rsidR="007B3C55" w:rsidRPr="007B3C55" w:rsidRDefault="007B3C55" w:rsidP="007B3C55">
      <w:proofErr w:type="gramStart"/>
      <w:r w:rsidRPr="007B3C55">
        <w:rPr>
          <w:lang w:val="en-ID"/>
        </w:rPr>
        <w:t>According to Minister of Environment Forestry Regulation No.</w:t>
      </w:r>
      <w:proofErr w:type="gramEnd"/>
      <w:r w:rsidRPr="007B3C55">
        <w:rPr>
          <w:lang w:val="en-ID"/>
        </w:rPr>
        <w:t xml:space="preserve"> P.83 of 2016 concerning social forestry, social forestry is an effort to reduce poverty, unemployment and inequality in the management of forest areas</w:t>
      </w:r>
      <w:r w:rsidR="00B40461">
        <w:fldChar w:fldCharType="begin" w:fldLock="1"/>
      </w:r>
      <w:r>
        <w:instrText>ADDIN CSL_CITATION {"citationItems":[{"id":"ITEM-1","itemData":{"author":[{"dropping-particle":"","family":"Kementerian Lingkungan Hidup Dan Kehutanan","given":"","non-dropping-particle":"","parse-names":false,"suffix":""}],"id":"ITEM-1","issued":{"date-parts":[["2016"]]},"title":"PermenLHK Nomor P.83/MENLHK/SETJEN/KUM.1/10/2016 Tentang Perhutanan Sosial","type":"legislation"},"uris":["http://www.mendeley.com/documents/?uuid=1aa6aede-e3a7-4d0f-8ce2-3be4e0e59097"]}],"mendeley":{"formattedCitation":"[21]","plainTextFormattedCitation":"[21]","previouslyFormattedCitation":"(Kementerian Lingkungan Hidup Dan Kehutanan, 2016)"},"properties":{"noteIndex":0},"schema":"https://github.com/citation-style-language/schema/raw/master/csl-citation.json"}</w:instrText>
      </w:r>
      <w:r w:rsidR="00B40461">
        <w:fldChar w:fldCharType="separate"/>
      </w:r>
      <w:r w:rsidRPr="00F70037">
        <w:rPr>
          <w:noProof/>
        </w:rPr>
        <w:t>[21]</w:t>
      </w:r>
      <w:r w:rsidR="00B40461">
        <w:fldChar w:fldCharType="end"/>
      </w:r>
      <w:r>
        <w:rPr>
          <w:lang w:val="id-ID"/>
        </w:rPr>
        <w:t>.</w:t>
      </w:r>
      <w:r w:rsidRPr="007B3C55">
        <w:rPr>
          <w:lang w:val="en-ID"/>
        </w:rPr>
        <w:t xml:space="preserve"> This social forestry program policy was made to complement existing community-based forest management schemes </w:t>
      </w:r>
      <w:r w:rsidR="00B40461">
        <w:rPr>
          <w:lang w:val="id-ID"/>
        </w:rPr>
        <w:fldChar w:fldCharType="begin" w:fldLock="1"/>
      </w:r>
      <w:r>
        <w:rPr>
          <w:lang w:val="id-ID"/>
        </w:rPr>
        <w:instrText>ADDIN CSL_CITATION {"citationItems":[{"id":"ITEM-1","itemData":{"DOI":"10.1016/j.cbd.2009.07.002","ISBN":"1744-117X","abstract":"In this study, we analyzed the complete mitochondrial (mt) genome of a hydrothermal vent crab Xenograpsus testudinatus (Decapoda: Brachyura) obtained from the hydrothermal vents off Kueishantao Island, Taiwan, which extend from the deep sea Okinawa Trench. The mitogenome of X. testudinatus was 15,796 bp in length and contained the same 37 genes (e.g. 2 rRNAs, 22 tRNAs, and 13 PCGs) found in other metazoan mitogenomes. Analysis of the structural mt gene order in X testudinatus revealed that the 13 PCGs, excluding a translocation of ND6-Cyt b cluster, were similarly ordered when compared to the pancrustacean ground pattern; however the tRNAs were severely rearranged. Phylogenetic analysis of decapod mitogenomes showed that the molecular taxonomy of the vent crab was in accordance with its morphological systematics. Together, these findings suggest that the vent crab studied here has little mitochondrial genetic variation when compared with morphologically defined conspecifics from other marine habitats. (C) 2009 Elsevier Inc. All rights reserved.","author":[{"dropping-particle":"","family":"Rahmina","given":"","non-dropping-particle":"","parse-names":false,"suffix":""}],"id":"ITEM-1","issued":{"date-parts":[["2012"]]},"title":"Pilihan skema pengelolaan hutan berbasis masyarakat dalam mitigasi perubahan iklim","type":"article-journal"},"uris":["http://www.mendeley.com/documents/?uuid=b3c0ad1d-fbe7-47a4-a8c6-cf9be584e4ce"]}],"mendeley":{"formattedCitation":"[22]","plainTextFormattedCitation":"[22]","previouslyFormattedCitation":"(Rahmina, 2012)"},"properties":{"noteIndex":0},"schema":"https://github.com/citation-style-language/schema/raw/master/csl-citation.json"}</w:instrText>
      </w:r>
      <w:r w:rsidR="00B40461">
        <w:rPr>
          <w:lang w:val="id-ID"/>
        </w:rPr>
        <w:fldChar w:fldCharType="separate"/>
      </w:r>
      <w:r w:rsidRPr="00F70037">
        <w:rPr>
          <w:noProof/>
          <w:lang w:val="id-ID"/>
        </w:rPr>
        <w:t>[22]</w:t>
      </w:r>
      <w:r w:rsidR="00B40461">
        <w:rPr>
          <w:lang w:val="id-ID"/>
        </w:rPr>
        <w:fldChar w:fldCharType="end"/>
      </w:r>
      <w:r w:rsidRPr="007B3C55">
        <w:rPr>
          <w:lang w:val="en-ID"/>
        </w:rPr>
        <w:t xml:space="preserve"> such as Community Plantation Forests (HTR), Community Forestry (</w:t>
      </w:r>
      <w:proofErr w:type="spellStart"/>
      <w:r w:rsidRPr="007B3C55">
        <w:rPr>
          <w:lang w:val="en-ID"/>
        </w:rPr>
        <w:t>HKm</w:t>
      </w:r>
      <w:proofErr w:type="spellEnd"/>
      <w:r w:rsidRPr="007B3C55">
        <w:rPr>
          <w:lang w:val="en-ID"/>
        </w:rPr>
        <w:t xml:space="preserve">), Community Forestry (HR), Village Forests (HD) and collaboration forms of forest management between private companies and entrepreneurs </w:t>
      </w:r>
      <w:r w:rsidR="00B40461">
        <w:rPr>
          <w:lang w:val="id-ID"/>
        </w:rPr>
        <w:fldChar w:fldCharType="begin" w:fldLock="1"/>
      </w:r>
      <w:r>
        <w:rPr>
          <w:lang w:val="id-ID"/>
        </w:rPr>
        <w:instrText>ADDIN CSL_CITATION {"citationItems":[{"id":"ITEM-1","itemData":{"author":[{"dropping-particle":"","family":"Rosdiana","given":"Erna","non-dropping-particle":"","parse-names":false,"suffix":""}],"id":"ITEM-1","issued":{"date-parts":[["2007"]]},"publisher":"Direktorat Bina Perhutanan Sosial, Departemen Kehutanan","publisher-place":"Jakarta","title":"Skema-Skema Pemberdayaan","type":"speech"},"uris":["http://www.mendeley.com/documents/?uuid=471d6342-04bd-4e5d-be72-52b99f2ffbd8"]}],"mendeley":{"formattedCitation":"[23]","plainTextFormattedCitation":"[23]","previouslyFormattedCitation":"(Rosdiana, 2007)"},"properties":{"noteIndex":0},"schema":"https://github.com/citation-style-language/schema/raw/master/csl-citation.json"}</w:instrText>
      </w:r>
      <w:r w:rsidR="00B40461">
        <w:rPr>
          <w:lang w:val="id-ID"/>
        </w:rPr>
        <w:fldChar w:fldCharType="separate"/>
      </w:r>
      <w:r w:rsidRPr="00F70037">
        <w:rPr>
          <w:noProof/>
          <w:lang w:val="id-ID"/>
        </w:rPr>
        <w:t>[23]</w:t>
      </w:r>
      <w:r w:rsidR="00B40461">
        <w:rPr>
          <w:lang w:val="id-ID"/>
        </w:rPr>
        <w:fldChar w:fldCharType="end"/>
      </w:r>
      <w:r>
        <w:t xml:space="preserve">. </w:t>
      </w:r>
      <w:r w:rsidRPr="007B3C55">
        <w:t xml:space="preserve">In the social forestry scheme, the government opens up greater access to communities located around the forest to utilize forest areas in the form of timber and non-timber forest products through nursery, planting, maintenance, harvesting, processing, and marketing based on forest conservation principles. In accordance with the 2015-2019 National Medium-Term Development Plan (RPJMN) </w:t>
      </w:r>
      <w:r w:rsidR="00B40461">
        <w:rPr>
          <w:lang w:val="id-ID"/>
        </w:rPr>
        <w:fldChar w:fldCharType="begin" w:fldLock="1"/>
      </w:r>
      <w:r>
        <w:rPr>
          <w:lang w:val="id-ID"/>
        </w:rPr>
        <w:instrText>ADDIN CSL_CITATION {"citationItems":[{"id":"ITEM-1","itemData":{"author":[{"dropping-particle":"","family":"Republik Indonesia","given":"","non-dropping-particle":"","parse-names":false,"suffix":""}],"id":"ITEM-1","issued":{"date-parts":[["2019"]]},"publisher-place":"Indonesia","title":"RENCANA PEMBANGUNAN JANGKA MENENGAH NASIONAL 2015-2019","type":"legislation"},"uris":["http://www.mendeley.com/documents/?uuid=76c10912-0069-4143-8911-fa7d201219e1"]}],"mendeley":{"formattedCitation":"[24]","plainTextFormattedCitation":"[24]","previouslyFormattedCitation":"(Republik Indonesia, 2019)"},"properties":{"noteIndex":0},"schema":"https://github.com/citation-style-language/schema/raw/master/csl-citation.json"}</w:instrText>
      </w:r>
      <w:r w:rsidR="00B40461">
        <w:rPr>
          <w:lang w:val="id-ID"/>
        </w:rPr>
        <w:fldChar w:fldCharType="separate"/>
      </w:r>
      <w:r w:rsidRPr="00F70037">
        <w:rPr>
          <w:noProof/>
          <w:lang w:val="id-ID"/>
        </w:rPr>
        <w:t>[24]</w:t>
      </w:r>
      <w:r w:rsidR="00B40461">
        <w:rPr>
          <w:lang w:val="id-ID"/>
        </w:rPr>
        <w:fldChar w:fldCharType="end"/>
      </w:r>
      <w:r w:rsidRPr="007B3C55">
        <w:t>, the Ministry of Environment and Forestry is tasked with allocating an area of 12.7 million hectares of forest for social forestry activities involving the community.</w:t>
      </w:r>
    </w:p>
    <w:p w:rsidR="006670BF" w:rsidRDefault="006670BF" w:rsidP="0045178E">
      <w:pPr>
        <w:rPr>
          <w:lang w:val="id-ID"/>
        </w:rPr>
      </w:pPr>
      <w:r w:rsidRPr="006670BF">
        <w:rPr>
          <w:lang w:val="id-ID"/>
        </w:rPr>
        <w:t>One area that has implemented a pattern of social forestry is a forest area located in the management area of ​​the</w:t>
      </w:r>
      <w:r w:rsidR="00A71815">
        <w:t xml:space="preserve"> Regional</w:t>
      </w:r>
      <w:r w:rsidRPr="006670BF">
        <w:rPr>
          <w:lang w:val="id-ID"/>
        </w:rPr>
        <w:t xml:space="preserve"> Technical Implementation Unit</w:t>
      </w:r>
      <w:r w:rsidR="00A71815">
        <w:t xml:space="preserve">(UPTD) </w:t>
      </w:r>
      <w:r w:rsidR="00A71815" w:rsidRPr="006670BF">
        <w:rPr>
          <w:lang w:val="id-ID"/>
        </w:rPr>
        <w:t>KPH</w:t>
      </w:r>
      <w:r w:rsidRPr="006670BF">
        <w:rPr>
          <w:lang w:val="id-ID"/>
        </w:rPr>
        <w:t xml:space="preserve">Region I Meranti located in Musi Banyuasin Regency. As of 2018, there have been </w:t>
      </w:r>
      <w:r w:rsidRPr="006670BF">
        <w:rPr>
          <w:lang w:val="id-ID"/>
        </w:rPr>
        <w:lastRenderedPageBreak/>
        <w:t xml:space="preserve">4 social forestry permits issued </w:t>
      </w:r>
      <w:r w:rsidR="00B40461">
        <w:fldChar w:fldCharType="begin" w:fldLock="1"/>
      </w:r>
      <w:r w:rsidR="00F93729">
        <w:rPr>
          <w:lang w:val="id-ID"/>
        </w:rPr>
        <w:instrText>ADDIN CSL_CITATION {"citationItems":[{"id":"ITEM-1","itemData":{"author":[{"dropping-particle":"","family":"Dinas Kehutanan Provinsi Sumatera Selatan","given":"","non-dropping-particle":"","parse-names":false,"suffix":""}],"id":"ITEM-1","issued":{"date-parts":[["2018"]]},"publisher-place":"Palembang","title":"LAPORAN MONITORING IZIN PERHUTANAN SOSIAL DI WILAYAH UPTD KPH PROVINSI SUMATERA SELATAN","type":"report"},"uris":["http://www.mendeley.com/documents/?uuid=f4e20b06-7003-4094-8b60-3cbeeb28758c"]}],"mendeley":{"formattedCitation":"[25]","plainTextFormattedCitation":"[25]","previouslyFormattedCitation":"(Dinas Kehutanan Provinsi Sumatera Selatan, 2018a)"},"properties":{"noteIndex":0},"schema":"https://github.com/citation-style-language/schema/raw/master/csl-citation.json"}</w:instrText>
      </w:r>
      <w:r w:rsidR="00B40461">
        <w:fldChar w:fldCharType="separate"/>
      </w:r>
      <w:r w:rsidR="00F93729" w:rsidRPr="00F70037">
        <w:rPr>
          <w:noProof/>
          <w:lang w:val="id-ID"/>
        </w:rPr>
        <w:t>[25]</w:t>
      </w:r>
      <w:r w:rsidR="00B40461">
        <w:fldChar w:fldCharType="end"/>
      </w:r>
      <w:r w:rsidR="00F93729">
        <w:rPr>
          <w:lang w:val="id-ID"/>
        </w:rPr>
        <w:t xml:space="preserve">. </w:t>
      </w:r>
      <w:r w:rsidRPr="006670BF">
        <w:rPr>
          <w:lang w:val="id-ID"/>
        </w:rPr>
        <w:t>The existence of social forestry permits in this area aims to reduce critical land and tenurial conflicts</w:t>
      </w:r>
      <w:r w:rsidR="00B40461">
        <w:rPr>
          <w:lang w:val="id-ID"/>
        </w:rPr>
        <w:fldChar w:fldCharType="begin" w:fldLock="1"/>
      </w:r>
      <w:r w:rsidR="00F93729">
        <w:rPr>
          <w:lang w:val="id-ID"/>
        </w:rPr>
        <w:instrText>ADDIN CSL_CITATION {"citationItems":[{"id":"ITEM-1","itemData":{"DOI":"10.7226/jtfm","ISBN":"6281171055","abstract":"Previous work on certification of palm oil has reported on a trend toward a change, from failed state regulation to voluntary, private governance. However, recent observations suggest a trend, moving from voluntary, private governance to mandatory state governance in palm oil certification in Indonesia, a move in which the state is reclaiming authority. In this light, the aims of our research are (1) to identify the main actors involved in certification politics, (2) to explain this trend in terms of the actors' interests and whatever benefits may result for them. We developed our research questions based on bureaucratic politics and power theory. A mix of document analysis, interviews, and observations are applied for addressing the questions. The results answer our research questions, i.e., that (1) the state claims back its authority over certification from private actors and contributed to the complex meta governance of palm oil certification, the state mandatory scheme that is supported by states' bureaucracies in charge reduces the influence of non-government or private actors. (2) This trend is due to a coalition of specific state bureaucracies and big industry interests, which grant privileges to industry that are denied to small producers. Unexpectedly, all Indonesian bureaucracies associated with this trend support mandatory state certification, which indicates that palm oil has been elevated in importance to become a matter of national, rather than mere bureaucratic interest. Making certification mandatory through coercive regulatory power is the main tool with which state power can challenge voluntary implementation and reclaim authority. Furthermore, the state needs the voluntary system to exist as well in order to strengthen its position. Therefore, the voluntary and the compulsory systems collaborate to attract global initiatives, which is contributing to the high complex of meta governance.","author":[{"dropping-particle":"","family":"Napitu","given":"Ja Posman","non-dropping-particle":"","parse-names":false,"suffix":""},{"dropping-particle":"","family":"Hidayat","given":"Aceng","non-dropping-particle":"","parse-names":false,"suffix":""},{"dropping-particle":"","family":"Basuni","given":"Sambas","non-dropping-particle":"","parse-names":false,"suffix":""},{"dropping-particle":"","family":"Sjaf","given":"Sofyan","non-dropping-particle":"","parse-names":false,"suffix":""}],"container-title":"Jurnal Manajemen Hutan Tropika","id":"ITEM-1","issue":"December","issued":{"date-parts":[["2017"]]},"title":"Conflicts of Utilization and Sustainable Production Forest Management n Forest in Management Unit of Meranti South Sumatera","type":"article-journal","volume":"23"},"uris":["http://www.mendeley.com/documents/?uuid=6b0c71e4-4450-4f8f-b43d-3c271bad3065"]}],"mendeley":{"formattedCitation":"[26]","plainTextFormattedCitation":"[26]","previouslyFormattedCitation":"(Napitu et al., 2017a)"},"properties":{"noteIndex":0},"schema":"https://github.com/citation-style-language/schema/raw/master/csl-citation.json"}</w:instrText>
      </w:r>
      <w:r w:rsidR="00B40461">
        <w:rPr>
          <w:lang w:val="id-ID"/>
        </w:rPr>
        <w:fldChar w:fldCharType="separate"/>
      </w:r>
      <w:r w:rsidR="00F93729" w:rsidRPr="00F70037">
        <w:rPr>
          <w:noProof/>
          <w:lang w:val="id-ID"/>
        </w:rPr>
        <w:t>[26]</w:t>
      </w:r>
      <w:r w:rsidR="00B40461">
        <w:rPr>
          <w:lang w:val="id-ID"/>
        </w:rPr>
        <w:fldChar w:fldCharType="end"/>
      </w:r>
      <w:r w:rsidRPr="006670BF">
        <w:rPr>
          <w:lang w:val="id-ID"/>
        </w:rPr>
        <w:t xml:space="preserve"> between the government / private companies and the community, especially in the management area of ​​the Meranti</w:t>
      </w:r>
      <w:r w:rsidR="00A71815">
        <w:t xml:space="preserve"> Sungai </w:t>
      </w:r>
      <w:proofErr w:type="spellStart"/>
      <w:r w:rsidR="00A71815">
        <w:t>Merah</w:t>
      </w:r>
      <w:proofErr w:type="spellEnd"/>
      <w:r w:rsidRPr="006670BF">
        <w:rPr>
          <w:lang w:val="id-ID"/>
        </w:rPr>
        <w:t xml:space="preserve"> Protection Forest (HL MSM) which is stated in very critical conditions. This location is adjacent to the Dangku Landscape which is a conservation area and is one of the tiger cruising routes </w:t>
      </w:r>
      <w:r w:rsidR="00B40461">
        <w:fldChar w:fldCharType="begin" w:fldLock="1"/>
      </w:r>
      <w:r w:rsidR="00F93729">
        <w:instrText>ADDIN CSL_CITATION {"citationItems":[{"id":"ITEM-1","itemData":{"author":[{"dropping-particle":"","family":"Zulfikhar","given":"","non-dropping-particle":"","parse-names":false,"suffix":""},{"dropping-particle":"","family":"Zulkifli","given":"Hilda","non-dropping-particle":"","parse-names":false,"suffix":""},{"dropping-particle":"","family":"Kadir","given":"Sabaruddin","non-dropping-particle":"","parse-names":false,"suffix":""},{"dropping-particle":"","family":"Iskandar","given":"Iskhaq","non-dropping-particle":"","parse-names":false,"suffix":""}],"container-title":"Sriwijaya Journal of Environment","id":"ITEM-1","issue":"1","issued":{"date-parts":[["2017"]]},"page":"8-18","title":"The Rapid Changes of the Landscape Structure of the Meranti-Dangku Tropical Lowland Forest in the South Sumatra Province , Indonesia","type":"article-journal","volume":"2"},"uris":["http://www.mendeley.com/documents/?uuid=0567db01-715d-4c04-b903-5f56bb7c07ea"]}],"mendeley":{"formattedCitation":"[27]","plainTextFormattedCitation":"[27]","previouslyFormattedCitation":"(Zulfikhar et al., 2017)"},"properties":{"noteIndex":0},"schema":"https://github.com/citation-style-language/schema/raw/master/csl-citation.json"}</w:instrText>
      </w:r>
      <w:r w:rsidR="00B40461">
        <w:fldChar w:fldCharType="separate"/>
      </w:r>
      <w:r w:rsidR="00F93729" w:rsidRPr="00F70037">
        <w:rPr>
          <w:noProof/>
        </w:rPr>
        <w:t>[27]</w:t>
      </w:r>
      <w:r w:rsidR="00B40461">
        <w:fldChar w:fldCharType="end"/>
      </w:r>
      <w:r w:rsidRPr="006670BF">
        <w:rPr>
          <w:lang w:val="id-ID"/>
        </w:rPr>
        <w:t>involving many interested actors</w:t>
      </w:r>
      <w:r w:rsidR="00B40461">
        <w:fldChar w:fldCharType="begin" w:fldLock="1"/>
      </w:r>
      <w:r w:rsidR="00F93729">
        <w:instrText>ADDIN CSL_CITATION {"citationItems":[{"id":"ITEM-1","itemData":{"DOI":"10.1016/j.forpol.2019.01.014","ISSN":"1389-9341","author":[{"dropping-particle":"","family":"Amalia","given":"Dwi","non-dropping-particle":"","parse-names":false,"suffix":""},{"dropping-particle":"","family":"Sayer","given":"Jeffrey","non-dropping-particle":"","parse-names":false,"suffix":""},{"dropping-particle":"","family":"Margules","given":"Chris","non-dropping-particle":"","parse-names":false,"suffix":""},{"dropping-particle":"","family":"Klintuni","given":"Agni","non-dropping-particle":"","parse-names":false,"suffix":""}],"container-title":"Forest Policy and Economics","id":"ITEM-1","issue":"February 2018","issued":{"date-parts":[["2019"]]},"page":"17-28","publisher":"Elsevier","title":"Forest Policy and Economics Determining the effectiveness of forest landscape governance : A case study from the Sendang landscape , South Sumatra","type":"article-journal","volume":"102"},"uris":["http://www.mendeley.com/documents/?uuid=1cd9d540-095d-4b47-8251-a7be615c132f"]}],"mendeley":{"formattedCitation":"[28]","plainTextFormattedCitation":"[28]","previouslyFormattedCitation":"(Amalia et al., 2019)"},"properties":{"noteIndex":0},"schema":"https://github.com/citation-style-language/schema/raw/master/csl-citation.json"}</w:instrText>
      </w:r>
      <w:r w:rsidR="00B40461">
        <w:fldChar w:fldCharType="separate"/>
      </w:r>
      <w:r w:rsidR="00F93729" w:rsidRPr="00F70037">
        <w:rPr>
          <w:noProof/>
        </w:rPr>
        <w:t>[28]</w:t>
      </w:r>
      <w:r w:rsidR="00B40461">
        <w:fldChar w:fldCharType="end"/>
      </w:r>
      <w:r w:rsidRPr="006670BF">
        <w:rPr>
          <w:lang w:val="id-ID"/>
        </w:rPr>
        <w:t xml:space="preserve">. It is hoped that there will be a middle ground solution to bridge economic and ecological needs in this region </w:t>
      </w:r>
      <w:r w:rsidR="00B40461">
        <w:rPr>
          <w:lang w:val="id-ID"/>
        </w:rPr>
        <w:fldChar w:fldCharType="begin" w:fldLock="1"/>
      </w:r>
      <w:r w:rsidR="00F93729">
        <w:rPr>
          <w:lang w:val="id-ID"/>
        </w:rPr>
        <w:instrText>ADDIN CSL_CITATION {"citationItems":[{"id":"ITEM-1","itemData":{"DOI":"10.1016/j.forpol.2018.05.011","ISSN":"1389-9341","author":[{"dropping-particle":"","family":"Harbi","given":"Jun","non-dropping-particle":"","parse-names":false,"suffix":""},{"dropping-particle":"","family":"Thomas","given":"James","non-dropping-particle":"","parse-names":false,"suffix":""},{"dropping-particle":"","family":"Sidiq","given":"Mohammad","non-dropping-particle":"","parse-names":false,"suffix":""},{"dropping-particle":"","family":"Haasler","given":"Berthold","non-dropping-particle":"","parse-names":false,"suffix":""}],"container-title":"Forest Policy and Economics","id":"ITEM-1","issue":"May","issued":{"date-parts":[["2018"]]},"page":"1-10","publisher":"Elsevier","title":"Forest Policy and Economics Making a bridge between livelihoods and forest conservation : Lessons from non timber forest products ' utilization in South Sumatera , INDONESIA","type":"article-journal","volume":"94"},"uris":["http://www.mendeley.com/documents/?uuid=0de8b186-867b-4a60-a21c-fc39b704250c"]}],"mendeley":{"formattedCitation":"[29]","plainTextFormattedCitation":"[29]","previouslyFormattedCitation":"(Harbi et al., 2018)"},"properties":{"noteIndex":0},"schema":"https://github.com/citation-style-language/schema/raw/master/csl-citation.json"}</w:instrText>
      </w:r>
      <w:r w:rsidR="00B40461">
        <w:rPr>
          <w:lang w:val="id-ID"/>
        </w:rPr>
        <w:fldChar w:fldCharType="separate"/>
      </w:r>
      <w:r w:rsidR="00F93729" w:rsidRPr="00F70037">
        <w:rPr>
          <w:noProof/>
          <w:lang w:val="id-ID"/>
        </w:rPr>
        <w:t>[29]</w:t>
      </w:r>
      <w:r w:rsidR="00B40461">
        <w:rPr>
          <w:lang w:val="id-ID"/>
        </w:rPr>
        <w:fldChar w:fldCharType="end"/>
      </w:r>
      <w:r w:rsidR="00F93729">
        <w:t xml:space="preserve">. </w:t>
      </w:r>
      <w:r w:rsidRPr="006670BF">
        <w:rPr>
          <w:lang w:val="id-ID"/>
        </w:rPr>
        <w:t>At present there are 8,932 ha or 78.5% of HL MSM land which are in the critical category</w:t>
      </w:r>
      <w:r w:rsidR="00B40461">
        <w:fldChar w:fldCharType="begin" w:fldLock="1"/>
      </w:r>
      <w:r w:rsidR="00F93729">
        <w:rPr>
          <w:lang w:val="id-ID"/>
        </w:rPr>
        <w:instrText>ADDIN CSL_CITATION {"citationItems":[{"id":"ITEM-1","itemData":{"author":[{"dropping-particle":"","family":"Yunardy","given":"Syafrul","non-dropping-particle":"","parse-names":false,"suffix":""},{"dropping-particle":"","family":"Kunarso","given":"Adi","non-dropping-particle":"","parse-names":false,"suffix":""},{"dropping-particle":"","family":"Harbi","given":"Jun","non-dropping-particle":"","parse-names":false,"suffix":""},{"dropping-particle":"","family":"Nugroho","given":"Dudy","non-dropping-particle":"","parse-names":false,"suffix":""},{"dropping-particle":"","family":"Kamil","given":"Wan","non-dropping-particle":"","parse-names":false,"suffix":""},{"dropping-particle":"","family":"Sutanto","given":"Himawan","non-dropping-particle":"","parse-names":false,"suffix":""},{"dropping-particle":"","family":"Travolindra","given":"Yoga","non-dropping-particle":"","parse-names":false,"suffix":""},{"dropping-particle":"","family":"Setiawan","given":"Hendra","non-dropping-particle":"","parse-names":false,"suffix":""},{"dropping-particle":"","family":"Berthold","given":"Haasler","non-dropping-particle":"","parse-names":false,"suffix":""}],"id":"ITEM-1","issued":{"date-parts":[["2017"]]},"publisher-place":"Palembang","title":"Pemetaan Lahan Terdegradasi dan Penentuan Prioritas Areal Rehabilitasi Skala Lansekap di KPHP Meranti, Provinsi Sumatera Selatan","type":"report"},"uris":["http://www.mendeley.com/documents/?uuid=17b2740b-2712-44b1-85b7-b3c1e50fd469"]}],"mendeley":{"formattedCitation":"[30]","plainTextFormattedCitation":"[30]","previouslyFormattedCitation":"(Yunardy et al., 2017)"},"properties":{"noteIndex":0},"schema":"https://github.com/citation-style-language/schema/raw/master/csl-citation.json"}</w:instrText>
      </w:r>
      <w:r w:rsidR="00B40461">
        <w:fldChar w:fldCharType="separate"/>
      </w:r>
      <w:r w:rsidR="00F93729" w:rsidRPr="00F70037">
        <w:rPr>
          <w:noProof/>
          <w:lang w:val="id-ID"/>
        </w:rPr>
        <w:t>[30]</w:t>
      </w:r>
      <w:r w:rsidR="00B40461">
        <w:fldChar w:fldCharType="end"/>
      </w:r>
      <w:r w:rsidRPr="006670BF">
        <w:rPr>
          <w:lang w:val="id-ID"/>
        </w:rPr>
        <w:t xml:space="preserve"> and are estimated to overlap 38.53% of the total area between the community, the private sector and the government </w:t>
      </w:r>
      <w:r w:rsidR="00B40461">
        <w:rPr>
          <w:rFonts w:ascii="TimesNewRomanPSMT" w:hAnsi="TimesNewRomanPSMT" w:cs="TimesNewRomanPSMT"/>
          <w:kern w:val="0"/>
          <w:szCs w:val="24"/>
          <w:lang w:val="id-ID"/>
        </w:rPr>
        <w:fldChar w:fldCharType="begin" w:fldLock="1"/>
      </w:r>
      <w:r w:rsidR="00F93729">
        <w:rPr>
          <w:rFonts w:ascii="TimesNewRomanPSMT" w:hAnsi="TimesNewRomanPSMT" w:cs="TimesNewRomanPSMT"/>
          <w:kern w:val="0"/>
          <w:szCs w:val="24"/>
          <w:lang w:val="id-ID"/>
        </w:rPr>
        <w:instrText>ADDIN CSL_CITATION {"citationItems":[{"id":"ITEM-1","itemData":{"DOI":"10.20886/jsek.2017.14.2.101-118","ISBN":"9781450324731","ISSN":"19796013","abstract":"Despite the fact that a third of all cases of unintentional medication non-adherence are caused by simple forgetfulness, the majority of interventions neglect this issue. Even though patients have access to smartphone applications (\"apps\") designed to help them remember medication, neither their quality nor effectiveness has been evaluated yet. We report the findings of a functionality review of 229 medication reminder apps and a thematic analysis of their 1,012 user reviews. Our research highlights the gap between the theory and practice: while the literature shows that many medication regimens are habitual in nature and the presence of daily routines supports remembering, existing apps rely on timer-based reminders. To address this disparity, we present design requirements for building medication reminders that support the routine aspect of medication-taking and its individual nature, and demonstrate how they could be implemented to move from passive alerts to a smarter memory and routine assistant.","author":[{"dropping-particle":"","family":"Napitu","given":"Ja Posman","non-dropping-particle":"","parse-names":false,"suffix":""},{"dropping-particle":"","family":"Hidayat","given":"Aceng","non-dropping-particle":"","parse-names":false,"suffix":""},{"dropping-particle":"","family":"Basuni","given":"Sambas","non-dropping-particle":"","parse-names":false,"suffix":""},{"dropping-particle":"","family":"Sjaf","given":"Sofyan","non-dropping-particle":"","parse-names":false,"suffix":""}],"container-title":"Jurnal Penelitian Sosial dan Ekonomi Kehutanan","id":"ITEM-1","issue":"2","issued":{"date-parts":[["2017"]]},"page":"101-118","title":"Mekanisme Akses Pada Hak Kepemilikan Di Kesatuan Pengelolaan Hutan Produksi Meranti, Sumatera Selatan","type":"article-journal","volume":"14"},"uris":["http://www.mendeley.com/documents/?uuid=c3c39f39-7f1c-4a0e-99dc-5ff241161a3e"]}],"mendeley":{"formattedCitation":"[31]","plainTextFormattedCitation":"[31]","previouslyFormattedCitation":"(Napitu et al., 2017b)"},"properties":{"noteIndex":0},"schema":"https://github.com/citation-style-language/schema/raw/master/csl-citation.json"}</w:instrText>
      </w:r>
      <w:r w:rsidR="00B40461">
        <w:rPr>
          <w:rFonts w:ascii="TimesNewRomanPSMT" w:hAnsi="TimesNewRomanPSMT" w:cs="TimesNewRomanPSMT"/>
          <w:kern w:val="0"/>
          <w:szCs w:val="24"/>
          <w:lang w:val="id-ID"/>
        </w:rPr>
        <w:fldChar w:fldCharType="separate"/>
      </w:r>
      <w:r w:rsidR="00F93729" w:rsidRPr="00F70037">
        <w:rPr>
          <w:rFonts w:ascii="TimesNewRomanPSMT" w:hAnsi="TimesNewRomanPSMT" w:cs="TimesNewRomanPSMT"/>
          <w:noProof/>
          <w:kern w:val="0"/>
          <w:szCs w:val="24"/>
          <w:lang w:val="id-ID"/>
        </w:rPr>
        <w:t>[31]</w:t>
      </w:r>
      <w:r w:rsidR="00B40461">
        <w:rPr>
          <w:rFonts w:ascii="TimesNewRomanPSMT" w:hAnsi="TimesNewRomanPSMT" w:cs="TimesNewRomanPSMT"/>
          <w:kern w:val="0"/>
          <w:szCs w:val="24"/>
          <w:lang w:val="id-ID"/>
        </w:rPr>
        <w:fldChar w:fldCharType="end"/>
      </w:r>
      <w:r w:rsidRPr="006670BF">
        <w:rPr>
          <w:lang w:val="id-ID"/>
        </w:rPr>
        <w:t>.</w:t>
      </w:r>
    </w:p>
    <w:p w:rsidR="00356B60" w:rsidRDefault="00356B60" w:rsidP="0045178E">
      <w:pPr>
        <w:rPr>
          <w:lang w:val="id-ID"/>
        </w:rPr>
      </w:pPr>
      <w:r w:rsidRPr="00356B60">
        <w:rPr>
          <w:lang w:val="id-ID"/>
        </w:rPr>
        <w:t xml:space="preserve">There are two villages around the HL MSM area, namely Lubuk Bintialo Village and Pangkalan Bulian Village </w:t>
      </w:r>
      <w:r w:rsidR="00B40461">
        <w:fldChar w:fldCharType="begin" w:fldLock="1"/>
      </w:r>
      <w:r>
        <w:instrText>ADDIN CSL_CITATION {"citationItems":[{"id":"ITEM-1","itemData":{"author":[{"dropping-particle":"","family":"Yunardy","given":"Syafrul","non-dropping-particle":"","parse-names":false,"suffix":""},{"dropping-particle":"","family":"Kunarso","given":"Adi","non-dropping-particle":"","parse-names":false,"suffix":""},{"dropping-particle":"","family":"Harbi","given":"Jun","non-dropping-particle":"","parse-names":false,"suffix":""},{"dropping-particle":"","family":"Nugroho","given":"Dudy","non-dropping-particle":"","parse-names":false,"suffix":""},{"dropping-particle":"","family":"Kamil","given":"Wan","non-dropping-particle":"","parse-names":false,"suffix":""},{"dropping-particle":"","family":"Sutanto","given":"Himawan","non-dropping-particle":"","parse-names":false,"suffix":""},{"dropping-particle":"","family":"Travolindra","given":"Yoga","non-dropping-particle":"","parse-names":false,"suffix":""},{"dropping-particle":"","family":"Setiawan","given":"Hendra","non-dropping-particle":"","parse-names":false,"suffix":""},{"dropping-particle":"","family":"Berthold","given":"Haasler","non-dropping-particle":"","parse-names":false,"suffix":""}],"id":"ITEM-1","issued":{"date-parts":[["2017"]]},"publisher-place":"Palembang","title":"Pemetaan Lahan Terdegradasi dan Penentuan Prioritas Areal Rehabilitasi Skala Lansekap di KPHP Meranti, Provinsi Sumatera Selatan","type":"report"},"uris":["http://www.mendeley.com/documents/?uuid=17b2740b-2712-44b1-85b7-b3c1e50fd469"]},{"id":"ITEM-2","itemData":{"DOI":"10.1016/j.forpol.2018.05.011","ISSN":"1389-9341","author":[{"dropping-particle":"","family":"Harbi","given":"Jun","non-dropping-particle":"","parse-names":false,"suffix":""},{"dropping-particle":"","family":"Thomas","given":"James","non-dropping-particle":"","parse-names":false,"suffix":""},{"dropping-particle":"","family":"Sidiq","given":"Mohammad","non-dropping-particle":"","parse-names":false,"suffix":""},{"dropping-particle":"","family":"Haasler","given":"Berthold","non-dropping-particle":"","parse-names":false,"suffix":""}],"container-title":"Forest Policy and Economics","id":"ITEM-2","issue":"May","issued":{"date-parts":[["2018"]]},"page":"1-10","publisher":"Elsevier","title":"Forest Policy and Economics Making a bridge between livelihoods and forest conservation : Lessons from non timber forest products ' utilization in South Sumatera , INDONESIA","type":"article-journal","volume":"94"},"uris":["http://www.mendeley.com/documents/?uuid=0de8b186-867b-4a60-a21c-fc39b704250c"]}],"mendeley":{"formattedCitation":"[29], [30]","plainTextFormattedCitation":"[29], [30]","previouslyFormattedCitation":"(Harbi et al., 2018; Yunardy et al., 2017)"},"properties":{"noteIndex":0},"schema":"https://github.com/citation-style-language/schema/raw/master/csl-citation.json"}</w:instrText>
      </w:r>
      <w:r w:rsidR="00B40461">
        <w:fldChar w:fldCharType="separate"/>
      </w:r>
      <w:r w:rsidRPr="00F70037">
        <w:rPr>
          <w:noProof/>
        </w:rPr>
        <w:t>[29], [30]</w:t>
      </w:r>
      <w:r w:rsidR="00B40461">
        <w:fldChar w:fldCharType="end"/>
      </w:r>
      <w:r>
        <w:t xml:space="preserve">. </w:t>
      </w:r>
      <w:r w:rsidRPr="00356B60">
        <w:rPr>
          <w:lang w:val="id-ID"/>
        </w:rPr>
        <w:t xml:space="preserve">In these forest areas there are 39 forest farmer groups (KTH) that manage land in the two villages </w:t>
      </w:r>
      <w:r w:rsidR="00B40461">
        <w:fldChar w:fldCharType="begin" w:fldLock="1"/>
      </w:r>
      <w:r w:rsidR="00D4413C">
        <w:instrText>ADDIN CSL_CITATION {"citationItems":[{"id":"ITEM-1","itemData":{"author":[{"dropping-particle":"","family":"UPTD KPH Wil I Meranti","given":"","non-dropping-particle":"","parse-names":false,"suffix":""}],"id":"ITEM-1","issued":{"date-parts":[["2018"]]},"title":"Data KTH UPTD KPH Wil I Meranti","type":"report"},"uris":["http://www.mendeley.com/documents/?uuid=7cc939df-254b-480e-948a-3ad2fc05c705"]}],"mendeley":{"formattedCitation":"[32]","plainTextFormattedCitation":"[32]","previouslyFormattedCitation":"(UPTD KPH Wil I Meranti, 2018)"},"properties":{"noteIndex":0},"schema":"https://github.com/citation-style-language/schema/raw/master/csl-citation.json"}</w:instrText>
      </w:r>
      <w:r w:rsidR="00B40461">
        <w:fldChar w:fldCharType="separate"/>
      </w:r>
      <w:r w:rsidR="00D4413C" w:rsidRPr="00F70037">
        <w:rPr>
          <w:noProof/>
        </w:rPr>
        <w:t>[32]</w:t>
      </w:r>
      <w:r w:rsidR="00B40461">
        <w:fldChar w:fldCharType="end"/>
      </w:r>
      <w:r w:rsidRPr="00356B60">
        <w:rPr>
          <w:lang w:val="id-ID"/>
        </w:rPr>
        <w:t xml:space="preserve">with 3 community categories including: 1) local communities, 2) local transmigrants, for example: former employees and workers of the HPH era, and 3) official transmigrants (government programs) and non-program government entrants from other provinces </w:t>
      </w:r>
      <w:r w:rsidR="00B40461">
        <w:fldChar w:fldCharType="begin" w:fldLock="1"/>
      </w:r>
      <w:r w:rsidR="00D4413C">
        <w:instrText>ADDIN CSL_CITATION {"citationItems":[{"id":"ITEM-1","itemData":{"DOI":"10.7226/jtfm","ISBN":"6281171055","abstract":"Previous work on certification of palm oil has reported on a trend toward a change, from failed state regulation to voluntary, private governance. However, recent observations suggest a trend, moving from voluntary, private governance to mandatory state governance in palm oil certification in Indonesia, a move in which the state is reclaiming authority. In this light, the aims of our research are (1) to identify the main actors involved in certification politics, (2) to explain this trend in terms of the actors' interests and whatever benefits may result for them. We developed our research questions based on bureaucratic politics and power theory. A mix of document analysis, interviews, and observations are applied for addressing the questions. The results answer our research questions, i.e., that (1) the state claims back its authority over certification from private actors and contributed to the complex meta governance of palm oil certification, the state mandatory scheme that is supported by states' bureaucracies in charge reduces the influence of non-government or private actors. (2) This trend is due to a coalition of specific state bureaucracies and big industry interests, which grant privileges to industry that are denied to small producers. Unexpectedly, all Indonesian bureaucracies associated with this trend support mandatory state certification, which indicates that palm oil has been elevated in importance to become a matter of national, rather than mere bureaucratic interest. Making certification mandatory through coercive regulatory power is the main tool with which state power can challenge voluntary implementation and reclaim authority. Furthermore, the state needs the voluntary system to exist as well in order to strengthen its position. Therefore, the voluntary and the compulsory systems collaborate to attract global initiatives, which is contributing to the high complex of meta governance.","author":[{"dropping-particle":"","family":"Napitu","given":"Ja Posman","non-dropping-particle":"","parse-names":false,"suffix":""},{"dropping-particle":"","family":"Hidayat","given":"Aceng","non-dropping-particle":"","parse-names":false,"suffix":""},{"dropping-particle":"","family":"Basuni","given":"Sambas","non-dropping-particle":"","parse-names":false,"suffix":""},{"dropping-particle":"","family":"Sjaf","given":"Sofyan","non-dropping-particle":"","parse-names":false,"suffix":""}],"container-title":"Jurnal Manajemen Hutan Tropika","id":"ITEM-1","issue":"December","issued":{"date-parts":[["2017"]]},"title":"Conflicts of Utilization and Sustainable Production Forest Management n Forest in Management Unit of Meranti South Sumatera","type":"article-journal","volume":"23"},"uris":["http://www.mendeley.com/documents/?uuid=6b0c71e4-4450-4f8f-b43d-3c271bad3065"]}],"mendeley":{"formattedCitation":"[26]","plainTextFormattedCitation":"[26]","previouslyFormattedCitation":"(Napitu et al., 2017a)"},"properties":{"noteIndex":0},"schema":"https://github.com/citation-style-language/schema/raw/master/csl-citation.json"}</w:instrText>
      </w:r>
      <w:r w:rsidR="00B40461">
        <w:fldChar w:fldCharType="separate"/>
      </w:r>
      <w:r w:rsidR="00D4413C" w:rsidRPr="00F70037">
        <w:rPr>
          <w:noProof/>
        </w:rPr>
        <w:t>[26]</w:t>
      </w:r>
      <w:r w:rsidR="00B40461">
        <w:fldChar w:fldCharType="end"/>
      </w:r>
      <w:r w:rsidR="00D4413C">
        <w:t xml:space="preserve">. </w:t>
      </w:r>
      <w:r w:rsidRPr="00356B60">
        <w:rPr>
          <w:lang w:val="id-ID"/>
        </w:rPr>
        <w:t xml:space="preserve">Contrary to the condition of the high level of occupation of forest areas, only 3 social forestry scheme permits have been issued. Because policies have an important role in forest management </w:t>
      </w:r>
      <w:r w:rsidR="00B40461">
        <w:rPr>
          <w:szCs w:val="24"/>
        </w:rPr>
        <w:fldChar w:fldCharType="begin" w:fldLock="1"/>
      </w:r>
      <w:r w:rsidR="00D4413C">
        <w:rPr>
          <w:szCs w:val="24"/>
        </w:rPr>
        <w:instrText>ADDIN CSL_CITATION {"citationItems":[{"id":"ITEM-1","itemData":{"DOI":"10.1016/j.forpol.2016.04.004","ISSN":"1389-9341","author":[{"dropping-particle":"","family":"Kalaba","given":"Felix Kanungwe","non-dropping-particle":"","parse-names":false,"suffix":""}],"container-title":"Forest Policy and Economics","id":"ITEM-1","issued":{"date-parts":[["2016"]]},"page":"40-44","publisher":"Elsevier B.V.","title":"Forest Policy and Economics Barriers to policy implementation and implications for Zambia ' s forest ecosystems","type":"article-journal","volume":"69"},"uris":["http://www.mendeley.com/documents/?uuid=c1efdcb0-6365-4eb2-a23e-4f4b8b918110"]}],"mendeley":{"formattedCitation":"[33]","plainTextFormattedCitation":"[33]","previouslyFormattedCitation":"(Kalaba, 2016)"},"properties":{"noteIndex":0},"schema":"https://github.com/citation-style-language/schema/raw/master/csl-citation.json"}</w:instrText>
      </w:r>
      <w:r w:rsidR="00B40461">
        <w:rPr>
          <w:szCs w:val="24"/>
        </w:rPr>
        <w:fldChar w:fldCharType="separate"/>
      </w:r>
      <w:r w:rsidR="00D4413C" w:rsidRPr="00F70037">
        <w:rPr>
          <w:noProof/>
          <w:szCs w:val="24"/>
        </w:rPr>
        <w:t>[33]</w:t>
      </w:r>
      <w:r w:rsidR="00B40461">
        <w:rPr>
          <w:szCs w:val="24"/>
        </w:rPr>
        <w:fldChar w:fldCharType="end"/>
      </w:r>
      <w:r w:rsidR="00D4413C">
        <w:rPr>
          <w:szCs w:val="24"/>
        </w:rPr>
        <w:t xml:space="preserve">, </w:t>
      </w:r>
      <w:r w:rsidRPr="00356B60">
        <w:rPr>
          <w:lang w:val="id-ID"/>
        </w:rPr>
        <w:t>based on this background, a study needs to be conducted to find out and analyze the process of implementing social forestry policies in Musi Banyuasin District especially Lubuk Bintialo Village and Pangkalan Bulian Village as an effort to preserve HL MSM regularly help improve people's welfare. So the purpose of this study was to find out and analyze the process of implementing social forestry policy in Musi Banyuasin Regency and analyze the factors that influence the implementation of the policy in the form of reality of communication, adequacy of resources, accuracy of disposition; and bureaucratic structures in the form of SOPs</w:t>
      </w:r>
      <w:r w:rsidR="00D4413C">
        <w:t xml:space="preserve"> (Standard Operational Procedures)</w:t>
      </w:r>
      <w:r w:rsidRPr="00356B60">
        <w:rPr>
          <w:lang w:val="id-ID"/>
        </w:rPr>
        <w:t>.</w:t>
      </w:r>
    </w:p>
    <w:p w:rsidR="0045178E" w:rsidRPr="0045178E" w:rsidRDefault="0045178E" w:rsidP="0045178E">
      <w:pPr>
        <w:pStyle w:val="ListParagraph"/>
        <w:ind w:leftChars="0" w:left="1287" w:firstLine="0"/>
      </w:pPr>
    </w:p>
    <w:p w:rsidR="00F065F6" w:rsidRPr="00676F3A" w:rsidRDefault="0045178E" w:rsidP="0045178E">
      <w:pPr>
        <w:pStyle w:val="ListParagraph"/>
        <w:numPr>
          <w:ilvl w:val="0"/>
          <w:numId w:val="6"/>
        </w:numPr>
        <w:ind w:leftChars="0" w:left="284" w:hanging="284"/>
        <w:rPr>
          <w:b/>
          <w:sz w:val="24"/>
        </w:rPr>
      </w:pPr>
      <w:r w:rsidRPr="00676F3A">
        <w:rPr>
          <w:b/>
          <w:sz w:val="24"/>
          <w:lang w:val="en-US"/>
        </w:rPr>
        <w:t>Material and Methods</w:t>
      </w:r>
    </w:p>
    <w:p w:rsidR="00676F3A" w:rsidRDefault="006760DD" w:rsidP="000249B6">
      <w:r w:rsidRPr="006760DD">
        <w:t xml:space="preserve">The study was conducted in the </w:t>
      </w:r>
      <w:proofErr w:type="spellStart"/>
      <w:r w:rsidRPr="006760DD">
        <w:t>Meranti</w:t>
      </w:r>
      <w:proofErr w:type="spellEnd"/>
      <w:r>
        <w:t xml:space="preserve"> Sungai </w:t>
      </w:r>
      <w:proofErr w:type="spellStart"/>
      <w:r>
        <w:t>Merah</w:t>
      </w:r>
      <w:proofErr w:type="spellEnd"/>
      <w:r w:rsidRPr="006760DD">
        <w:t xml:space="preserve"> Protected Forest area (HL MSM) located in the management area of the Regional</w:t>
      </w:r>
      <w:r w:rsidRPr="006670BF">
        <w:rPr>
          <w:lang w:val="id-ID"/>
        </w:rPr>
        <w:t>Technical Implementation Unit</w:t>
      </w:r>
      <w:r w:rsidRPr="006760DD">
        <w:t xml:space="preserve"> Forest Management Unit (UPTD KPH) Region 1 </w:t>
      </w:r>
      <w:proofErr w:type="spellStart"/>
      <w:r w:rsidRPr="006760DD">
        <w:t>Meranti</w:t>
      </w:r>
      <w:proofErr w:type="spellEnd"/>
      <w:r w:rsidRPr="006760DD">
        <w:t xml:space="preserve">. Administratively, this area intersects with the area of </w:t>
      </w:r>
      <w:proofErr w:type="spellStart"/>
      <w:r w:rsidRPr="006760DD">
        <w:t>Pangkalan</w:t>
      </w:r>
      <w:proofErr w:type="spellEnd"/>
      <w:r w:rsidRPr="006760DD">
        <w:t xml:space="preserve"> </w:t>
      </w:r>
      <w:proofErr w:type="spellStart"/>
      <w:r w:rsidRPr="006760DD">
        <w:t>Bulian</w:t>
      </w:r>
      <w:proofErr w:type="spellEnd"/>
      <w:r w:rsidRPr="006760DD">
        <w:t xml:space="preserve"> and </w:t>
      </w:r>
      <w:proofErr w:type="spellStart"/>
      <w:r w:rsidRPr="006760DD">
        <w:t>Lubuk</w:t>
      </w:r>
      <w:proofErr w:type="spellEnd"/>
      <w:r w:rsidRPr="006760DD">
        <w:t xml:space="preserve"> </w:t>
      </w:r>
      <w:proofErr w:type="spellStart"/>
      <w:r w:rsidRPr="006760DD">
        <w:t>Bintialo</w:t>
      </w:r>
      <w:proofErr w:type="spellEnd"/>
      <w:r w:rsidRPr="006760DD">
        <w:t xml:space="preserve"> Villages, </w:t>
      </w:r>
      <w:proofErr w:type="spellStart"/>
      <w:r w:rsidRPr="006760DD">
        <w:t>Batang</w:t>
      </w:r>
      <w:proofErr w:type="spellEnd"/>
      <w:r w:rsidRPr="006760DD">
        <w:t xml:space="preserve"> </w:t>
      </w:r>
      <w:proofErr w:type="spellStart"/>
      <w:r w:rsidRPr="006760DD">
        <w:t>Hari</w:t>
      </w:r>
      <w:proofErr w:type="spellEnd"/>
      <w:r w:rsidRPr="006760DD">
        <w:t xml:space="preserve"> </w:t>
      </w:r>
      <w:proofErr w:type="spellStart"/>
      <w:r w:rsidRPr="006760DD">
        <w:t>Leko</w:t>
      </w:r>
      <w:proofErr w:type="spellEnd"/>
      <w:r w:rsidRPr="006760DD">
        <w:t xml:space="preserve"> District, </w:t>
      </w:r>
      <w:proofErr w:type="spellStart"/>
      <w:r w:rsidRPr="006760DD">
        <w:t>Musi</w:t>
      </w:r>
      <w:proofErr w:type="spellEnd"/>
      <w:r w:rsidRPr="006760DD">
        <w:t xml:space="preserve"> </w:t>
      </w:r>
      <w:proofErr w:type="spellStart"/>
      <w:r w:rsidRPr="006760DD">
        <w:t>Banyuasin</w:t>
      </w:r>
      <w:proofErr w:type="spellEnd"/>
      <w:r w:rsidRPr="006760DD">
        <w:t xml:space="preserve"> Regency, South Sumatra Province (Figure </w:t>
      </w:r>
      <w:r w:rsidR="00552A67">
        <w:t>1</w:t>
      </w:r>
      <w:r w:rsidRPr="006760DD">
        <w:t xml:space="preserve">). The selection of research locations (2 location villages) was chosen purposively (intentionally) because it was a village directly adjacent to the </w:t>
      </w:r>
      <w:proofErr w:type="spellStart"/>
      <w:r w:rsidRPr="006760DD">
        <w:t>Meranti</w:t>
      </w:r>
      <w:proofErr w:type="spellEnd"/>
      <w:r w:rsidRPr="006760DD">
        <w:t xml:space="preserve"> </w:t>
      </w:r>
      <w:r>
        <w:t xml:space="preserve">Sungai </w:t>
      </w:r>
      <w:proofErr w:type="spellStart"/>
      <w:r>
        <w:t>Merah</w:t>
      </w:r>
      <w:proofErr w:type="spellEnd"/>
      <w:r>
        <w:t xml:space="preserve"> </w:t>
      </w:r>
      <w:r w:rsidRPr="006760DD">
        <w:t>Protected Forest area (HL MSM).</w:t>
      </w:r>
    </w:p>
    <w:p w:rsidR="00050B4A" w:rsidRDefault="00050B4A" w:rsidP="00050B4A">
      <w:r w:rsidRPr="00DC4C48">
        <w:t xml:space="preserve">The type of research used is descriptive method combined (mixed methods) from two different approaches namely quantitative or qualitative approaches. There are 2 types of data used, namely primary and secondary data. Primary data is obtained through observation of the management area of social forestry and interviews conducted in semi-structured (in-depth interviews) with relevant parties (informants). Determination of informants is done by </w:t>
      </w:r>
      <w:proofErr w:type="spellStart"/>
      <w:r w:rsidRPr="00DC4C48">
        <w:t>pusposing</w:t>
      </w:r>
      <w:proofErr w:type="spellEnd"/>
      <w:r w:rsidRPr="00DC4C48">
        <w:t xml:space="preserve"> and followed by snowball. Purposive determination was made of individuals who were actively and non</w:t>
      </w:r>
      <w:r>
        <w:t>-</w:t>
      </w:r>
      <w:r w:rsidRPr="00DC4C48">
        <w:t>actively involved in the implementation of social forestry policies (Table 1).</w:t>
      </w:r>
    </w:p>
    <w:p w:rsidR="00050B4A" w:rsidRDefault="00050B4A" w:rsidP="00050B4A">
      <w:r w:rsidRPr="00844787">
        <w:t>The number of informants interviewed in this study amounted to 40 people</w:t>
      </w:r>
      <w:r>
        <w:t>s</w:t>
      </w:r>
      <w:r w:rsidRPr="00844787">
        <w:t xml:space="preserve">. The dissemination of information </w:t>
      </w:r>
      <w:proofErr w:type="gramStart"/>
      <w:r w:rsidRPr="00844787">
        <w:t>from one information</w:t>
      </w:r>
      <w:proofErr w:type="gramEnd"/>
      <w:r w:rsidRPr="00844787">
        <w:t xml:space="preserve"> to another takes place by means of snowball, which starts from an informant who may have little knowledge of the problems under study and turn to informants who have greater involvement or have </w:t>
      </w:r>
      <w:r w:rsidRPr="00844787">
        <w:lastRenderedPageBreak/>
        <w:t>more knowledge related to the implementation of social forestry policies. Secondary data is obtained through collecting documents as supporting social forestry data. The secondary data referred to in accordance with Table 2.</w:t>
      </w:r>
    </w:p>
    <w:p w:rsidR="003E6858" w:rsidRDefault="003E6858" w:rsidP="00844787">
      <w:pPr>
        <w:pStyle w:val="JudulGambar"/>
        <w:spacing w:line="240" w:lineRule="auto"/>
        <w:ind w:left="2880" w:firstLine="720"/>
        <w:rPr>
          <w:sz w:val="24"/>
          <w:lang w:val="en-US"/>
        </w:rPr>
      </w:pPr>
    </w:p>
    <w:p w:rsidR="007B18A2" w:rsidRPr="007B18A2" w:rsidRDefault="00676F3A" w:rsidP="007B18A2">
      <w:pPr>
        <w:ind w:firstLine="0"/>
        <w:jc w:val="center"/>
        <w:outlineLvl w:val="0"/>
        <w:rPr>
          <w:rFonts w:cs="Times New Roman"/>
          <w:kern w:val="0"/>
          <w:szCs w:val="24"/>
          <w:lang w:val="id-ID"/>
        </w:rPr>
      </w:pPr>
      <w:proofErr w:type="gramStart"/>
      <w:r w:rsidRPr="00901076">
        <w:rPr>
          <w:rFonts w:cs="Times New Roman"/>
          <w:kern w:val="0"/>
          <w:szCs w:val="24"/>
        </w:rPr>
        <w:t>Tabl</w:t>
      </w:r>
      <w:r w:rsidR="00844787">
        <w:rPr>
          <w:rFonts w:cs="Times New Roman"/>
          <w:kern w:val="0"/>
          <w:szCs w:val="24"/>
        </w:rPr>
        <w:t>e</w:t>
      </w:r>
      <w:r w:rsidRPr="00901076">
        <w:rPr>
          <w:rFonts w:cs="Times New Roman"/>
          <w:kern w:val="0"/>
          <w:szCs w:val="24"/>
        </w:rPr>
        <w:t xml:space="preserve"> 1.</w:t>
      </w:r>
      <w:proofErr w:type="gramEnd"/>
      <w:r w:rsidRPr="00901076">
        <w:rPr>
          <w:rFonts w:cs="Times New Roman"/>
          <w:kern w:val="0"/>
          <w:szCs w:val="24"/>
        </w:rPr>
        <w:t xml:space="preserve"> </w:t>
      </w:r>
      <w:r w:rsidR="00844787">
        <w:rPr>
          <w:rFonts w:cs="Times New Roman"/>
          <w:kern w:val="0"/>
          <w:szCs w:val="24"/>
        </w:rPr>
        <w:t xml:space="preserve">List of Key </w:t>
      </w:r>
      <w:proofErr w:type="spellStart"/>
      <w:r w:rsidR="00844787">
        <w:rPr>
          <w:rFonts w:cs="Times New Roman"/>
          <w:kern w:val="0"/>
          <w:szCs w:val="24"/>
        </w:rPr>
        <w:t>Infomants</w:t>
      </w:r>
      <w:proofErr w:type="spellEnd"/>
    </w:p>
    <w:tbl>
      <w:tblPr>
        <w:tblStyle w:val="TableGrid"/>
        <w:tblW w:w="0" w:type="auto"/>
        <w:tblBorders>
          <w:left w:val="none" w:sz="0" w:space="0" w:color="auto"/>
          <w:right w:val="none" w:sz="0" w:space="0" w:color="auto"/>
          <w:insideV w:val="none" w:sz="0" w:space="0" w:color="auto"/>
        </w:tblBorders>
        <w:tblLook w:val="04A0"/>
      </w:tblPr>
      <w:tblGrid>
        <w:gridCol w:w="490"/>
        <w:gridCol w:w="8017"/>
      </w:tblGrid>
      <w:tr w:rsidR="00844787" w:rsidRPr="007D73BA" w:rsidTr="007B18A2">
        <w:trPr>
          <w:trHeight w:val="405"/>
          <w:tblHeader/>
        </w:trPr>
        <w:tc>
          <w:tcPr>
            <w:tcW w:w="490" w:type="dxa"/>
            <w:shd w:val="clear" w:color="auto" w:fill="D9D9D9" w:themeFill="background1" w:themeFillShade="D9"/>
            <w:vAlign w:val="center"/>
          </w:tcPr>
          <w:p w:rsidR="00844787" w:rsidRPr="007D73BA" w:rsidRDefault="00844787" w:rsidP="004F15FE">
            <w:pPr>
              <w:ind w:firstLine="0"/>
              <w:jc w:val="center"/>
              <w:rPr>
                <w:rFonts w:cs="Times New Roman"/>
                <w:b/>
                <w:color w:val="000000"/>
                <w:kern w:val="0"/>
                <w:sz w:val="20"/>
                <w:szCs w:val="20"/>
              </w:rPr>
            </w:pPr>
            <w:r w:rsidRPr="007D73BA">
              <w:rPr>
                <w:rFonts w:cs="Times New Roman"/>
                <w:b/>
                <w:color w:val="000000"/>
                <w:kern w:val="0"/>
                <w:sz w:val="20"/>
                <w:szCs w:val="20"/>
              </w:rPr>
              <w:t>No</w:t>
            </w:r>
          </w:p>
        </w:tc>
        <w:tc>
          <w:tcPr>
            <w:tcW w:w="8017" w:type="dxa"/>
            <w:shd w:val="clear" w:color="auto" w:fill="D9D9D9" w:themeFill="background1" w:themeFillShade="D9"/>
            <w:vAlign w:val="center"/>
          </w:tcPr>
          <w:p w:rsidR="00844787" w:rsidRPr="007D73BA" w:rsidRDefault="005F74DE" w:rsidP="004F15FE">
            <w:pPr>
              <w:ind w:firstLine="0"/>
              <w:jc w:val="center"/>
              <w:rPr>
                <w:rFonts w:cs="Times New Roman"/>
                <w:b/>
                <w:color w:val="000000"/>
                <w:kern w:val="0"/>
                <w:sz w:val="20"/>
                <w:szCs w:val="20"/>
              </w:rPr>
            </w:pPr>
            <w:r w:rsidRPr="005F74DE">
              <w:rPr>
                <w:rFonts w:cs="Times New Roman"/>
                <w:b/>
                <w:color w:val="000000"/>
                <w:kern w:val="0"/>
                <w:sz w:val="20"/>
                <w:szCs w:val="20"/>
              </w:rPr>
              <w:t>Position and institution</w:t>
            </w:r>
          </w:p>
        </w:tc>
      </w:tr>
      <w:tr w:rsidR="00844787" w:rsidRPr="007D73BA" w:rsidTr="007B18A2">
        <w:trPr>
          <w:trHeight w:val="5940"/>
          <w:tblHeader/>
        </w:trPr>
        <w:tc>
          <w:tcPr>
            <w:tcW w:w="490" w:type="dxa"/>
          </w:tcPr>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3</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4</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5</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6</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7</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8</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9</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10</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11</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12</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13</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14</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15</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16</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17</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18</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19</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20</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21</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22</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23</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24</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25</w:t>
            </w:r>
          </w:p>
          <w:p w:rsidR="00844787" w:rsidRPr="007D73BA" w:rsidRDefault="00844787" w:rsidP="004F15FE">
            <w:pPr>
              <w:ind w:firstLine="0"/>
              <w:rPr>
                <w:rFonts w:cs="Times New Roman"/>
                <w:color w:val="000000"/>
                <w:kern w:val="0"/>
                <w:sz w:val="20"/>
                <w:szCs w:val="20"/>
              </w:rPr>
            </w:pPr>
            <w:r w:rsidRPr="007D73BA">
              <w:rPr>
                <w:rFonts w:cs="Times New Roman"/>
                <w:color w:val="000000"/>
                <w:kern w:val="0"/>
                <w:sz w:val="20"/>
                <w:szCs w:val="20"/>
              </w:rPr>
              <w:t>26</w:t>
            </w:r>
          </w:p>
        </w:tc>
        <w:tc>
          <w:tcPr>
            <w:tcW w:w="8017" w:type="dxa"/>
          </w:tcPr>
          <w:p w:rsidR="00844787" w:rsidRPr="007D73BA" w:rsidRDefault="005F74DE" w:rsidP="004F15FE">
            <w:pPr>
              <w:widowControl/>
              <w:autoSpaceDE w:val="0"/>
              <w:autoSpaceDN w:val="0"/>
              <w:adjustRightInd w:val="0"/>
              <w:snapToGrid/>
              <w:ind w:left="-33" w:firstLine="0"/>
              <w:rPr>
                <w:color w:val="000000"/>
                <w:sz w:val="20"/>
                <w:szCs w:val="20"/>
                <w:lang w:val="id-ID"/>
              </w:rPr>
            </w:pPr>
            <w:r>
              <w:rPr>
                <w:color w:val="000000"/>
                <w:sz w:val="20"/>
                <w:szCs w:val="20"/>
              </w:rPr>
              <w:t>Head of Forest Office of South Sumatra Province</w:t>
            </w:r>
          </w:p>
          <w:p w:rsidR="00844787" w:rsidRPr="007D73BA" w:rsidRDefault="005F74DE" w:rsidP="004F15FE">
            <w:pPr>
              <w:widowControl/>
              <w:autoSpaceDE w:val="0"/>
              <w:autoSpaceDN w:val="0"/>
              <w:adjustRightInd w:val="0"/>
              <w:snapToGrid/>
              <w:ind w:left="-33" w:firstLine="0"/>
              <w:rPr>
                <w:color w:val="000000"/>
                <w:sz w:val="20"/>
                <w:szCs w:val="20"/>
                <w:lang w:val="id-ID"/>
              </w:rPr>
            </w:pPr>
            <w:r>
              <w:rPr>
                <w:color w:val="000000"/>
                <w:sz w:val="20"/>
                <w:szCs w:val="20"/>
              </w:rPr>
              <w:t xml:space="preserve">Head </w:t>
            </w:r>
            <w:proofErr w:type="spellStart"/>
            <w:r>
              <w:rPr>
                <w:color w:val="000000"/>
                <w:sz w:val="20"/>
                <w:szCs w:val="20"/>
              </w:rPr>
              <w:t>of</w:t>
            </w:r>
            <w:r w:rsidR="00CC6A21" w:rsidRPr="00CC6A21">
              <w:rPr>
                <w:color w:val="000000"/>
                <w:sz w:val="20"/>
                <w:szCs w:val="20"/>
              </w:rPr>
              <w:t>Forest</w:t>
            </w:r>
            <w:proofErr w:type="spellEnd"/>
            <w:r w:rsidR="00CC6A21" w:rsidRPr="00CC6A21">
              <w:rPr>
                <w:color w:val="000000"/>
                <w:sz w:val="20"/>
                <w:szCs w:val="20"/>
              </w:rPr>
              <w:t xml:space="preserve"> Area Consolidation Center </w:t>
            </w:r>
            <w:r w:rsidR="00844787" w:rsidRPr="007D73BA">
              <w:rPr>
                <w:color w:val="000000"/>
                <w:sz w:val="20"/>
                <w:szCs w:val="20"/>
              </w:rPr>
              <w:t xml:space="preserve">(BPKH) </w:t>
            </w:r>
            <w:r w:rsidR="00CC6A21">
              <w:rPr>
                <w:color w:val="000000"/>
                <w:sz w:val="20"/>
                <w:szCs w:val="20"/>
              </w:rPr>
              <w:t>regional</w:t>
            </w:r>
            <w:r w:rsidR="00844787" w:rsidRPr="007D73BA">
              <w:rPr>
                <w:color w:val="000000"/>
                <w:sz w:val="20"/>
                <w:szCs w:val="20"/>
              </w:rPr>
              <w:t xml:space="preserve"> 5 Palembang</w:t>
            </w:r>
          </w:p>
          <w:p w:rsidR="00844787" w:rsidRPr="007D73BA" w:rsidRDefault="005F74DE" w:rsidP="004F15FE">
            <w:pPr>
              <w:widowControl/>
              <w:autoSpaceDE w:val="0"/>
              <w:autoSpaceDN w:val="0"/>
              <w:adjustRightInd w:val="0"/>
              <w:snapToGrid/>
              <w:ind w:left="-33" w:firstLine="0"/>
              <w:rPr>
                <w:color w:val="000000"/>
                <w:sz w:val="20"/>
                <w:szCs w:val="20"/>
                <w:lang w:val="id-ID"/>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Bidang</w:t>
            </w:r>
            <w:proofErr w:type="spellEnd"/>
            <w:r w:rsidR="00844787" w:rsidRPr="007D73BA">
              <w:rPr>
                <w:color w:val="000000"/>
                <w:sz w:val="20"/>
                <w:szCs w:val="20"/>
              </w:rPr>
              <w:t xml:space="preserve"> </w:t>
            </w:r>
            <w:proofErr w:type="spellStart"/>
            <w:r w:rsidR="00844787" w:rsidRPr="007D73BA">
              <w:rPr>
                <w:color w:val="000000"/>
                <w:sz w:val="20"/>
                <w:szCs w:val="20"/>
              </w:rPr>
              <w:t>Penyuluhan</w:t>
            </w:r>
            <w:proofErr w:type="spellEnd"/>
            <w:r w:rsidR="00844787" w:rsidRPr="007D73BA">
              <w:rPr>
                <w:color w:val="000000"/>
                <w:sz w:val="20"/>
                <w:szCs w:val="20"/>
              </w:rPr>
              <w:t xml:space="preserve"> </w:t>
            </w:r>
            <w:proofErr w:type="spellStart"/>
            <w:r w:rsidR="00844787" w:rsidRPr="007D73BA">
              <w:rPr>
                <w:color w:val="000000"/>
                <w:sz w:val="20"/>
                <w:szCs w:val="20"/>
              </w:rPr>
              <w:t>dan</w:t>
            </w:r>
            <w:proofErr w:type="spellEnd"/>
            <w:r w:rsidR="00844787" w:rsidRPr="007D73BA">
              <w:rPr>
                <w:color w:val="000000"/>
                <w:sz w:val="20"/>
                <w:szCs w:val="20"/>
              </w:rPr>
              <w:t xml:space="preserve"> </w:t>
            </w:r>
            <w:proofErr w:type="spellStart"/>
            <w:r w:rsidR="00844787" w:rsidRPr="007D73BA">
              <w:rPr>
                <w:color w:val="000000"/>
                <w:sz w:val="20"/>
                <w:szCs w:val="20"/>
              </w:rPr>
              <w:t>Pemberdayaan</w:t>
            </w:r>
            <w:proofErr w:type="spellEnd"/>
            <w:r w:rsidR="00844787" w:rsidRPr="007D73BA">
              <w:rPr>
                <w:color w:val="000000"/>
                <w:sz w:val="20"/>
                <w:szCs w:val="20"/>
              </w:rPr>
              <w:t xml:space="preserve"> </w:t>
            </w:r>
            <w:proofErr w:type="spellStart"/>
            <w:r w:rsidR="00844787" w:rsidRPr="007D73BA">
              <w:rPr>
                <w:color w:val="000000"/>
                <w:sz w:val="20"/>
                <w:szCs w:val="20"/>
              </w:rPr>
              <w:t>Masyarakat</w:t>
            </w:r>
            <w:proofErr w:type="spellEnd"/>
            <w:r w:rsidR="00844787" w:rsidRPr="007D73BA">
              <w:rPr>
                <w:color w:val="000000"/>
                <w:sz w:val="20"/>
                <w:szCs w:val="20"/>
              </w:rPr>
              <w:t xml:space="preserve">, </w:t>
            </w:r>
            <w:proofErr w:type="spellStart"/>
            <w:r w:rsidR="00844787" w:rsidRPr="007D73BA">
              <w:rPr>
                <w:color w:val="000000"/>
                <w:sz w:val="20"/>
                <w:szCs w:val="20"/>
              </w:rPr>
              <w:t>Dinas</w:t>
            </w:r>
            <w:proofErr w:type="spellEnd"/>
            <w:r w:rsidR="00844787" w:rsidRPr="007D73BA">
              <w:rPr>
                <w:color w:val="000000"/>
                <w:sz w:val="20"/>
                <w:szCs w:val="20"/>
              </w:rPr>
              <w:t xml:space="preserve"> </w:t>
            </w:r>
            <w:proofErr w:type="spellStart"/>
            <w:r w:rsidR="00844787" w:rsidRPr="007D73BA">
              <w:rPr>
                <w:color w:val="000000"/>
                <w:sz w:val="20"/>
                <w:szCs w:val="20"/>
              </w:rPr>
              <w:t>Kehutanan</w:t>
            </w:r>
            <w:proofErr w:type="spellEnd"/>
            <w:r w:rsidR="00844787" w:rsidRPr="007D73BA">
              <w:rPr>
                <w:color w:val="000000"/>
                <w:sz w:val="20"/>
                <w:szCs w:val="20"/>
              </w:rPr>
              <w:t xml:space="preserve"> </w:t>
            </w:r>
            <w:proofErr w:type="spellStart"/>
            <w:r w:rsidR="00844787" w:rsidRPr="007D73BA">
              <w:rPr>
                <w:color w:val="000000"/>
                <w:sz w:val="20"/>
                <w:szCs w:val="20"/>
              </w:rPr>
              <w:t>Sumsel</w:t>
            </w:r>
            <w:proofErr w:type="spellEnd"/>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UPTD KPH </w:t>
            </w:r>
            <w:proofErr w:type="spellStart"/>
            <w:r w:rsidR="00844787" w:rsidRPr="007D73BA">
              <w:rPr>
                <w:color w:val="000000"/>
                <w:sz w:val="20"/>
                <w:szCs w:val="20"/>
              </w:rPr>
              <w:t>Wil</w:t>
            </w:r>
            <w:proofErr w:type="spellEnd"/>
            <w:r w:rsidR="00844787" w:rsidRPr="007D73BA">
              <w:rPr>
                <w:color w:val="000000"/>
                <w:sz w:val="20"/>
                <w:szCs w:val="20"/>
              </w:rPr>
              <w:t xml:space="preserve">. I </w:t>
            </w:r>
            <w:proofErr w:type="spellStart"/>
            <w:r w:rsidR="00844787" w:rsidRPr="007D73BA">
              <w:rPr>
                <w:color w:val="000000"/>
                <w:sz w:val="20"/>
                <w:szCs w:val="20"/>
              </w:rPr>
              <w:t>Meranti</w:t>
            </w:r>
            <w:proofErr w:type="spellEnd"/>
          </w:p>
          <w:p w:rsidR="00844787" w:rsidRPr="007D73BA" w:rsidRDefault="00844787" w:rsidP="004F15FE">
            <w:pPr>
              <w:widowControl/>
              <w:autoSpaceDE w:val="0"/>
              <w:autoSpaceDN w:val="0"/>
              <w:adjustRightInd w:val="0"/>
              <w:snapToGrid/>
              <w:ind w:left="-33" w:firstLine="0"/>
              <w:rPr>
                <w:color w:val="000000"/>
                <w:sz w:val="20"/>
                <w:szCs w:val="20"/>
                <w:lang w:val="id-ID"/>
              </w:rPr>
            </w:pPr>
            <w:proofErr w:type="spellStart"/>
            <w:r w:rsidRPr="007D73BA">
              <w:rPr>
                <w:color w:val="000000"/>
                <w:sz w:val="20"/>
                <w:szCs w:val="20"/>
              </w:rPr>
              <w:t>Penyuluh</w:t>
            </w:r>
            <w:proofErr w:type="spellEnd"/>
            <w:r w:rsidRPr="007D73BA">
              <w:rPr>
                <w:color w:val="000000"/>
                <w:sz w:val="20"/>
                <w:szCs w:val="20"/>
              </w:rPr>
              <w:t xml:space="preserve"> </w:t>
            </w:r>
            <w:proofErr w:type="spellStart"/>
            <w:r w:rsidRPr="007D73BA">
              <w:rPr>
                <w:color w:val="000000"/>
                <w:sz w:val="20"/>
                <w:szCs w:val="20"/>
              </w:rPr>
              <w:t>kehutanan</w:t>
            </w:r>
            <w:proofErr w:type="spellEnd"/>
            <w:r w:rsidRPr="007D73BA">
              <w:rPr>
                <w:color w:val="000000"/>
                <w:sz w:val="20"/>
                <w:szCs w:val="20"/>
              </w:rPr>
              <w:t xml:space="preserve"> UPTD KPH </w:t>
            </w:r>
            <w:proofErr w:type="spellStart"/>
            <w:r w:rsidRPr="007D73BA">
              <w:rPr>
                <w:color w:val="000000"/>
                <w:sz w:val="20"/>
                <w:szCs w:val="20"/>
              </w:rPr>
              <w:t>Wil</w:t>
            </w:r>
            <w:proofErr w:type="spellEnd"/>
            <w:r w:rsidRPr="007D73BA">
              <w:rPr>
                <w:color w:val="000000"/>
                <w:sz w:val="20"/>
                <w:szCs w:val="20"/>
              </w:rPr>
              <w:t xml:space="preserve">. 1 </w:t>
            </w:r>
            <w:proofErr w:type="spellStart"/>
            <w:r w:rsidRPr="007D73BA">
              <w:rPr>
                <w:color w:val="000000"/>
                <w:sz w:val="20"/>
                <w:szCs w:val="20"/>
              </w:rPr>
              <w:t>Meranti</w:t>
            </w:r>
            <w:proofErr w:type="spellEnd"/>
          </w:p>
          <w:p w:rsidR="00844787" w:rsidRPr="007D73BA" w:rsidRDefault="005F74DE" w:rsidP="004F15FE">
            <w:pPr>
              <w:widowControl/>
              <w:autoSpaceDE w:val="0"/>
              <w:autoSpaceDN w:val="0"/>
              <w:adjustRightInd w:val="0"/>
              <w:snapToGrid/>
              <w:ind w:left="-33" w:firstLine="0"/>
              <w:rPr>
                <w:color w:val="000000"/>
                <w:sz w:val="20"/>
                <w:szCs w:val="20"/>
                <w:lang w:val="id-ID"/>
              </w:rPr>
            </w:pPr>
            <w:r>
              <w:rPr>
                <w:color w:val="000000"/>
                <w:sz w:val="20"/>
                <w:szCs w:val="20"/>
              </w:rPr>
              <w:t xml:space="preserve">Head </w:t>
            </w:r>
            <w:proofErr w:type="spellStart"/>
            <w:r>
              <w:rPr>
                <w:color w:val="000000"/>
                <w:sz w:val="20"/>
                <w:szCs w:val="20"/>
              </w:rPr>
              <w:t>of</w:t>
            </w:r>
            <w:r w:rsidR="00CC6A21" w:rsidRPr="00CC6A21">
              <w:rPr>
                <w:color w:val="000000"/>
                <w:sz w:val="20"/>
                <w:szCs w:val="20"/>
              </w:rPr>
              <w:t>Working</w:t>
            </w:r>
            <w:proofErr w:type="spellEnd"/>
            <w:r w:rsidR="00CC6A21" w:rsidRPr="00CC6A21">
              <w:rPr>
                <w:color w:val="000000"/>
                <w:sz w:val="20"/>
                <w:szCs w:val="20"/>
              </w:rPr>
              <w:t xml:space="preserve"> Group on the Acceleration of Social Forestry </w:t>
            </w:r>
            <w:r w:rsidR="00844787" w:rsidRPr="007D73BA">
              <w:rPr>
                <w:color w:val="000000"/>
                <w:sz w:val="20"/>
                <w:szCs w:val="20"/>
              </w:rPr>
              <w:t>(</w:t>
            </w:r>
            <w:proofErr w:type="spellStart"/>
            <w:r w:rsidR="00844787" w:rsidRPr="007D73BA">
              <w:rPr>
                <w:color w:val="000000"/>
                <w:sz w:val="20"/>
                <w:szCs w:val="20"/>
              </w:rPr>
              <w:t>Pokja</w:t>
            </w:r>
            <w:proofErr w:type="spellEnd"/>
            <w:r w:rsidR="00844787" w:rsidRPr="007D73BA">
              <w:rPr>
                <w:color w:val="000000"/>
                <w:sz w:val="20"/>
                <w:szCs w:val="20"/>
              </w:rPr>
              <w:t xml:space="preserve"> PPS)</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Pr>
                <w:color w:val="000000"/>
                <w:sz w:val="20"/>
                <w:szCs w:val="20"/>
              </w:rPr>
              <w:t xml:space="preserve"> Village</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Pr>
                <w:color w:val="000000"/>
                <w:sz w:val="20"/>
                <w:szCs w:val="20"/>
              </w:rPr>
              <w:t xml:space="preserve"> Village</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 xml:space="preserve">Head </w:t>
            </w:r>
            <w:proofErr w:type="spellStart"/>
            <w:r>
              <w:rPr>
                <w:color w:val="000000"/>
                <w:sz w:val="20"/>
                <w:szCs w:val="20"/>
              </w:rPr>
              <w:t>of</w:t>
            </w:r>
            <w:r w:rsidR="00147A6D">
              <w:rPr>
                <w:color w:val="000000"/>
                <w:sz w:val="20"/>
                <w:szCs w:val="20"/>
              </w:rPr>
              <w:t>Village</w:t>
            </w:r>
            <w:proofErr w:type="spellEnd"/>
            <w:r w:rsidR="00147A6D">
              <w:rPr>
                <w:color w:val="000000"/>
                <w:sz w:val="20"/>
                <w:szCs w:val="20"/>
              </w:rPr>
              <w:t xml:space="preserve"> Cooperation Unit</w:t>
            </w:r>
            <w:r w:rsidR="00844787" w:rsidRPr="007D73BA">
              <w:rPr>
                <w:color w:val="000000"/>
                <w:sz w:val="20"/>
                <w:szCs w:val="20"/>
              </w:rPr>
              <w:t xml:space="preserve"> (KUD) Tunggal </w:t>
            </w:r>
            <w:proofErr w:type="spellStart"/>
            <w:r w:rsidR="00844787" w:rsidRPr="007D73BA">
              <w:rPr>
                <w:color w:val="000000"/>
                <w:sz w:val="20"/>
                <w:szCs w:val="20"/>
              </w:rPr>
              <w:t>Karya</w:t>
            </w:r>
            <w:proofErr w:type="spellEnd"/>
            <w:r w:rsidR="00844787" w:rsidRPr="007D73BA">
              <w:rPr>
                <w:color w:val="000000"/>
                <w:sz w:val="20"/>
                <w:szCs w:val="20"/>
              </w:rPr>
              <w:t xml:space="preserve"> </w:t>
            </w:r>
            <w:proofErr w:type="spellStart"/>
            <w:r w:rsidR="00844787" w:rsidRPr="007D73BA">
              <w:rPr>
                <w:color w:val="000000"/>
                <w:sz w:val="20"/>
                <w:szCs w:val="20"/>
              </w:rPr>
              <w:t>Sehati</w:t>
            </w:r>
            <w:proofErr w:type="spellEnd"/>
            <w:r w:rsidR="0086057D">
              <w:rPr>
                <w:color w:val="000000"/>
                <w:sz w:val="20"/>
                <w:szCs w:val="20"/>
              </w:rPr>
              <w:t>,</w:t>
            </w:r>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sidR="00CF711D">
              <w:rPr>
                <w:color w:val="000000"/>
                <w:sz w:val="20"/>
                <w:szCs w:val="20"/>
              </w:rPr>
              <w:t xml:space="preserve"> Village</w:t>
            </w:r>
          </w:p>
          <w:p w:rsidR="00844787" w:rsidRPr="007D73BA" w:rsidRDefault="00CF711D" w:rsidP="004F15FE">
            <w:pPr>
              <w:widowControl/>
              <w:autoSpaceDE w:val="0"/>
              <w:autoSpaceDN w:val="0"/>
              <w:adjustRightInd w:val="0"/>
              <w:snapToGrid/>
              <w:ind w:left="-33" w:firstLine="0"/>
              <w:rPr>
                <w:color w:val="000000"/>
                <w:sz w:val="20"/>
                <w:szCs w:val="20"/>
              </w:rPr>
            </w:pPr>
            <w:r>
              <w:rPr>
                <w:color w:val="000000"/>
                <w:sz w:val="20"/>
                <w:szCs w:val="20"/>
              </w:rPr>
              <w:t>Member of</w:t>
            </w:r>
            <w:r w:rsidR="00844787" w:rsidRPr="007D73BA">
              <w:rPr>
                <w:color w:val="000000"/>
                <w:sz w:val="20"/>
                <w:szCs w:val="20"/>
              </w:rPr>
              <w:t xml:space="preserve"> KUD Tunggal </w:t>
            </w:r>
            <w:proofErr w:type="spellStart"/>
            <w:r w:rsidR="00844787" w:rsidRPr="007D73BA">
              <w:rPr>
                <w:color w:val="000000"/>
                <w:sz w:val="20"/>
                <w:szCs w:val="20"/>
              </w:rPr>
              <w:t>Karya</w:t>
            </w:r>
            <w:proofErr w:type="spellEnd"/>
            <w:r w:rsidR="00844787" w:rsidRPr="007D73BA">
              <w:rPr>
                <w:color w:val="000000"/>
                <w:sz w:val="20"/>
                <w:szCs w:val="20"/>
              </w:rPr>
              <w:t xml:space="preserve"> </w:t>
            </w:r>
            <w:proofErr w:type="spellStart"/>
            <w:r w:rsidR="00844787" w:rsidRPr="007D73BA">
              <w:rPr>
                <w:color w:val="000000"/>
                <w:sz w:val="20"/>
                <w:szCs w:val="20"/>
              </w:rPr>
              <w:t>Sehati</w:t>
            </w:r>
            <w:proofErr w:type="spellEnd"/>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sidR="005F74DE">
              <w:rPr>
                <w:color w:val="000000"/>
                <w:sz w:val="20"/>
                <w:szCs w:val="20"/>
              </w:rPr>
              <w:t xml:space="preserve"> Village</w:t>
            </w:r>
            <w:r w:rsidR="00844787" w:rsidRPr="007D73BA">
              <w:rPr>
                <w:color w:val="000000"/>
                <w:sz w:val="20"/>
                <w:szCs w:val="20"/>
              </w:rPr>
              <w:t xml:space="preserve"> (3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Meranti</w:t>
            </w:r>
            <w:proofErr w:type="spellEnd"/>
            <w:r w:rsidR="00844787" w:rsidRPr="007D73BA">
              <w:rPr>
                <w:color w:val="000000"/>
                <w:sz w:val="20"/>
                <w:szCs w:val="20"/>
              </w:rPr>
              <w:t xml:space="preserve"> </w:t>
            </w:r>
            <w:proofErr w:type="spellStart"/>
            <w:r w:rsidR="00844787" w:rsidRPr="007D73BA">
              <w:rPr>
                <w:color w:val="000000"/>
                <w:sz w:val="20"/>
                <w:szCs w:val="20"/>
              </w:rPr>
              <w:t>Wana</w:t>
            </w:r>
            <w:proofErr w:type="spellEnd"/>
            <w:r w:rsidR="00844787" w:rsidRPr="007D73BA">
              <w:rPr>
                <w:color w:val="000000"/>
                <w:sz w:val="20"/>
                <w:szCs w:val="20"/>
              </w:rPr>
              <w:t xml:space="preserve"> </w:t>
            </w:r>
            <w:proofErr w:type="spellStart"/>
            <w:r w:rsidR="00844787" w:rsidRPr="007D73BA">
              <w:rPr>
                <w:color w:val="000000"/>
                <w:sz w:val="20"/>
                <w:szCs w:val="20"/>
              </w:rPr>
              <w:t>Makmur</w:t>
            </w:r>
            <w:proofErr w:type="spellEnd"/>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Pr>
                <w:color w:val="000000"/>
                <w:sz w:val="20"/>
                <w:szCs w:val="20"/>
              </w:rPr>
              <w:t xml:space="preserve"> Village</w:t>
            </w:r>
          </w:p>
          <w:p w:rsidR="00844787" w:rsidRPr="007D73BA" w:rsidRDefault="00CC6A21" w:rsidP="004F15FE">
            <w:pPr>
              <w:widowControl/>
              <w:autoSpaceDE w:val="0"/>
              <w:autoSpaceDN w:val="0"/>
              <w:adjustRightInd w:val="0"/>
              <w:snapToGrid/>
              <w:ind w:left="-33" w:firstLine="0"/>
              <w:rPr>
                <w:color w:val="000000"/>
                <w:sz w:val="20"/>
                <w:szCs w:val="20"/>
              </w:rPr>
            </w:pPr>
            <w:r>
              <w:rPr>
                <w:color w:val="000000"/>
                <w:sz w:val="20"/>
                <w:szCs w:val="20"/>
              </w:rPr>
              <w:t xml:space="preserve">Member </w:t>
            </w:r>
            <w:proofErr w:type="spellStart"/>
            <w:r>
              <w:rPr>
                <w:color w:val="000000"/>
                <w:sz w:val="20"/>
                <w:szCs w:val="20"/>
              </w:rPr>
              <w:t>of</w:t>
            </w:r>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Meranti</w:t>
            </w:r>
            <w:proofErr w:type="spellEnd"/>
            <w:r w:rsidR="00844787" w:rsidRPr="007D73BA">
              <w:rPr>
                <w:color w:val="000000"/>
                <w:sz w:val="20"/>
                <w:szCs w:val="20"/>
              </w:rPr>
              <w:t xml:space="preserve"> </w:t>
            </w:r>
            <w:proofErr w:type="spellStart"/>
            <w:r w:rsidR="00844787" w:rsidRPr="007D73BA">
              <w:rPr>
                <w:color w:val="000000"/>
                <w:sz w:val="20"/>
                <w:szCs w:val="20"/>
              </w:rPr>
              <w:t>Wana</w:t>
            </w:r>
            <w:proofErr w:type="spellEnd"/>
            <w:r w:rsidR="00844787" w:rsidRPr="007D73BA">
              <w:rPr>
                <w:color w:val="000000"/>
                <w:sz w:val="20"/>
                <w:szCs w:val="20"/>
              </w:rPr>
              <w:t xml:space="preserve"> </w:t>
            </w:r>
            <w:proofErr w:type="spellStart"/>
            <w:r w:rsidR="00844787" w:rsidRPr="007D73BA">
              <w:rPr>
                <w:color w:val="000000"/>
                <w:sz w:val="20"/>
                <w:szCs w:val="20"/>
              </w:rPr>
              <w:t>Makmur</w:t>
            </w:r>
            <w:proofErr w:type="spellEnd"/>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sidR="00844787" w:rsidRPr="007D73BA">
              <w:rPr>
                <w:color w:val="000000"/>
                <w:sz w:val="20"/>
                <w:szCs w:val="20"/>
              </w:rPr>
              <w:t xml:space="preserve"> </w:t>
            </w:r>
            <w:r w:rsidR="005F74DE">
              <w:rPr>
                <w:color w:val="000000"/>
                <w:sz w:val="20"/>
                <w:szCs w:val="20"/>
              </w:rPr>
              <w:t>Village</w:t>
            </w:r>
            <w:r w:rsidR="00844787" w:rsidRPr="007D73BA">
              <w:rPr>
                <w:color w:val="000000"/>
                <w:sz w:val="20"/>
                <w:szCs w:val="20"/>
              </w:rPr>
              <w:t xml:space="preserve">(3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Makmur</w:t>
            </w:r>
            <w:proofErr w:type="spellEnd"/>
            <w:r w:rsidR="00844787" w:rsidRPr="007D73BA">
              <w:rPr>
                <w:color w:val="000000"/>
                <w:sz w:val="20"/>
                <w:szCs w:val="20"/>
              </w:rPr>
              <w:t xml:space="preserve"> </w:t>
            </w:r>
            <w:proofErr w:type="spellStart"/>
            <w:r w:rsidR="00844787" w:rsidRPr="007D73BA">
              <w:rPr>
                <w:color w:val="000000"/>
                <w:sz w:val="20"/>
                <w:szCs w:val="20"/>
              </w:rPr>
              <w:t>Bersama</w:t>
            </w:r>
            <w:proofErr w:type="spellEnd"/>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Pr>
                <w:color w:val="000000"/>
                <w:sz w:val="20"/>
                <w:szCs w:val="20"/>
              </w:rPr>
              <w:t xml:space="preserve"> Village</w:t>
            </w:r>
          </w:p>
          <w:p w:rsidR="00844787" w:rsidRPr="007D73BA" w:rsidRDefault="005F74DE" w:rsidP="004F15FE">
            <w:pPr>
              <w:widowControl/>
              <w:autoSpaceDE w:val="0"/>
              <w:autoSpaceDN w:val="0"/>
              <w:adjustRightInd w:val="0"/>
              <w:snapToGrid/>
              <w:ind w:left="-33" w:firstLine="0"/>
              <w:rPr>
                <w:color w:val="000000"/>
                <w:sz w:val="20"/>
                <w:szCs w:val="20"/>
                <w:lang w:val="id-ID"/>
              </w:rPr>
            </w:pPr>
            <w:r>
              <w:rPr>
                <w:color w:val="000000"/>
                <w:sz w:val="20"/>
                <w:szCs w:val="20"/>
              </w:rPr>
              <w:t>Member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Makmur</w:t>
            </w:r>
            <w:proofErr w:type="spellEnd"/>
            <w:r w:rsidR="00844787" w:rsidRPr="007D73BA">
              <w:rPr>
                <w:color w:val="000000"/>
                <w:sz w:val="20"/>
                <w:szCs w:val="20"/>
              </w:rPr>
              <w:t xml:space="preserve"> </w:t>
            </w:r>
            <w:proofErr w:type="spellStart"/>
            <w:r w:rsidR="00844787" w:rsidRPr="007D73BA">
              <w:rPr>
                <w:color w:val="000000"/>
                <w:sz w:val="20"/>
                <w:szCs w:val="20"/>
              </w:rPr>
              <w:t>Bersama</w:t>
            </w:r>
            <w:proofErr w:type="spellEnd"/>
            <w:r w:rsidR="00844787" w:rsidRPr="007D73BA">
              <w:rPr>
                <w:color w:val="000000"/>
                <w:sz w:val="20"/>
                <w:szCs w:val="20"/>
              </w:rPr>
              <w:t xml:space="preserve">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Pr>
                <w:color w:val="000000"/>
                <w:sz w:val="20"/>
                <w:szCs w:val="20"/>
              </w:rPr>
              <w:t xml:space="preserve"> Village</w:t>
            </w:r>
            <w:r w:rsidR="00844787" w:rsidRPr="007D73BA">
              <w:rPr>
                <w:color w:val="000000"/>
                <w:sz w:val="20"/>
                <w:szCs w:val="20"/>
              </w:rPr>
              <w:t xml:space="preserve"> (3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CC6A21"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Karya</w:t>
            </w:r>
            <w:proofErr w:type="spellEnd"/>
            <w:r w:rsidR="00844787" w:rsidRPr="007D73BA">
              <w:rPr>
                <w:color w:val="000000"/>
                <w:sz w:val="20"/>
                <w:szCs w:val="20"/>
              </w:rPr>
              <w:t xml:space="preserve"> Indah </w:t>
            </w:r>
            <w:proofErr w:type="spellStart"/>
            <w:r w:rsidR="00844787" w:rsidRPr="007D73BA">
              <w:rPr>
                <w:color w:val="000000"/>
                <w:sz w:val="20"/>
                <w:szCs w:val="20"/>
              </w:rPr>
              <w:t>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sidR="005F74DE">
              <w:rPr>
                <w:color w:val="000000"/>
                <w:sz w:val="20"/>
                <w:szCs w:val="20"/>
              </w:rPr>
              <w:t xml:space="preserve"> Village</w:t>
            </w:r>
          </w:p>
          <w:p w:rsidR="00844787" w:rsidRPr="007D73BA" w:rsidRDefault="00CF711D" w:rsidP="004F15FE">
            <w:pPr>
              <w:widowControl/>
              <w:autoSpaceDE w:val="0"/>
              <w:autoSpaceDN w:val="0"/>
              <w:adjustRightInd w:val="0"/>
              <w:snapToGrid/>
              <w:ind w:left="-33" w:firstLine="0"/>
              <w:rPr>
                <w:color w:val="000000"/>
                <w:sz w:val="20"/>
                <w:szCs w:val="20"/>
              </w:rPr>
            </w:pPr>
            <w:r>
              <w:rPr>
                <w:color w:val="000000"/>
                <w:sz w:val="20"/>
                <w:szCs w:val="20"/>
              </w:rPr>
              <w:t>Member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Karya</w:t>
            </w:r>
            <w:proofErr w:type="spellEnd"/>
            <w:r w:rsidR="00844787" w:rsidRPr="007D73BA">
              <w:rPr>
                <w:color w:val="000000"/>
                <w:sz w:val="20"/>
                <w:szCs w:val="20"/>
              </w:rPr>
              <w:t xml:space="preserve"> </w:t>
            </w:r>
            <w:proofErr w:type="spellStart"/>
            <w:r w:rsidR="00844787" w:rsidRPr="007D73BA">
              <w:rPr>
                <w:color w:val="000000"/>
                <w:sz w:val="20"/>
                <w:szCs w:val="20"/>
              </w:rPr>
              <w:t>IndahLubuk</w:t>
            </w:r>
            <w:proofErr w:type="spellEnd"/>
            <w:r w:rsidR="00844787" w:rsidRPr="007D73BA">
              <w:rPr>
                <w:color w:val="000000"/>
                <w:sz w:val="20"/>
                <w:szCs w:val="20"/>
              </w:rPr>
              <w:t xml:space="preserve"> </w:t>
            </w:r>
            <w:proofErr w:type="spellStart"/>
            <w:r w:rsidR="00844787" w:rsidRPr="007D73BA">
              <w:rPr>
                <w:color w:val="000000"/>
                <w:sz w:val="20"/>
                <w:szCs w:val="20"/>
              </w:rPr>
              <w:t>Bintialo</w:t>
            </w:r>
            <w:proofErr w:type="spellEnd"/>
            <w:r w:rsidR="00844787" w:rsidRPr="007D73BA">
              <w:rPr>
                <w:color w:val="000000"/>
                <w:sz w:val="20"/>
                <w:szCs w:val="20"/>
              </w:rPr>
              <w:t xml:space="preserve"> </w:t>
            </w:r>
            <w:r w:rsidR="005F74DE">
              <w:rPr>
                <w:color w:val="000000"/>
                <w:sz w:val="20"/>
                <w:szCs w:val="20"/>
              </w:rPr>
              <w:t>Village</w:t>
            </w:r>
            <w:r w:rsidR="00844787" w:rsidRPr="007D73BA">
              <w:rPr>
                <w:color w:val="000000"/>
                <w:sz w:val="20"/>
                <w:szCs w:val="20"/>
              </w:rPr>
              <w:t xml:space="preserve">(3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sidR="00844787" w:rsidRPr="007D73BA">
              <w:rPr>
                <w:color w:val="000000"/>
                <w:sz w:val="20"/>
                <w:szCs w:val="20"/>
              </w:rPr>
              <w:t xml:space="preserve"> Sejahtera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Pr>
                <w:color w:val="000000"/>
                <w:sz w:val="20"/>
                <w:szCs w:val="20"/>
              </w:rPr>
              <w:t xml:space="preserve"> Village</w:t>
            </w:r>
          </w:p>
          <w:p w:rsidR="00844787" w:rsidRPr="007D73BA" w:rsidRDefault="00CF711D" w:rsidP="004F15FE">
            <w:pPr>
              <w:widowControl/>
              <w:autoSpaceDE w:val="0"/>
              <w:autoSpaceDN w:val="0"/>
              <w:adjustRightInd w:val="0"/>
              <w:snapToGrid/>
              <w:ind w:left="-33" w:firstLine="0"/>
              <w:rPr>
                <w:color w:val="000000"/>
                <w:sz w:val="20"/>
                <w:szCs w:val="20"/>
                <w:lang w:val="id-ID"/>
              </w:rPr>
            </w:pPr>
            <w:r>
              <w:rPr>
                <w:color w:val="000000"/>
                <w:sz w:val="20"/>
                <w:szCs w:val="20"/>
              </w:rPr>
              <w:t xml:space="preserve">Member </w:t>
            </w:r>
            <w:proofErr w:type="spellStart"/>
            <w:r>
              <w:rPr>
                <w:color w:val="000000"/>
                <w:sz w:val="20"/>
                <w:szCs w:val="20"/>
              </w:rPr>
              <w:t>of</w:t>
            </w:r>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sidR="00844787" w:rsidRPr="007D73BA">
              <w:rPr>
                <w:color w:val="000000"/>
                <w:sz w:val="20"/>
                <w:szCs w:val="20"/>
              </w:rPr>
              <w:t xml:space="preserve"> Sejahtera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sidR="005F74DE">
              <w:rPr>
                <w:color w:val="000000"/>
                <w:sz w:val="20"/>
                <w:szCs w:val="20"/>
              </w:rPr>
              <w:t xml:space="preserve"> Village</w:t>
            </w:r>
            <w:r w:rsidR="00844787" w:rsidRPr="007D73BA">
              <w:rPr>
                <w:color w:val="000000"/>
                <w:sz w:val="20"/>
                <w:szCs w:val="20"/>
              </w:rPr>
              <w:t xml:space="preserve"> (3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 xml:space="preserve">Head </w:t>
            </w:r>
            <w:proofErr w:type="spellStart"/>
            <w:r>
              <w:rPr>
                <w:color w:val="000000"/>
                <w:sz w:val="20"/>
                <w:szCs w:val="20"/>
              </w:rPr>
              <w:t>of</w:t>
            </w:r>
            <w:r w:rsidR="00844787" w:rsidRPr="007D73BA">
              <w:rPr>
                <w:color w:val="000000"/>
                <w:sz w:val="20"/>
                <w:szCs w:val="20"/>
              </w:rPr>
              <w:t>Ketua</w:t>
            </w:r>
            <w:proofErr w:type="spellEnd"/>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Sungai </w:t>
            </w:r>
            <w:proofErr w:type="spellStart"/>
            <w:r w:rsidR="00844787" w:rsidRPr="007D73BA">
              <w:rPr>
                <w:color w:val="000000"/>
                <w:sz w:val="20"/>
                <w:szCs w:val="20"/>
              </w:rPr>
              <w:t>Merah</w:t>
            </w:r>
            <w:proofErr w:type="spellEnd"/>
            <w:r w:rsidR="00844787" w:rsidRPr="007D73BA">
              <w:rPr>
                <w:color w:val="000000"/>
                <w:sz w:val="20"/>
                <w:szCs w:val="20"/>
              </w:rPr>
              <w:t xml:space="preserve"> Lestari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Pr>
                <w:color w:val="000000"/>
                <w:sz w:val="20"/>
                <w:szCs w:val="20"/>
              </w:rPr>
              <w:t xml:space="preserve"> Village</w:t>
            </w:r>
          </w:p>
          <w:p w:rsidR="00844787" w:rsidRPr="007D73BA" w:rsidRDefault="00CF711D" w:rsidP="004F15FE">
            <w:pPr>
              <w:widowControl/>
              <w:autoSpaceDE w:val="0"/>
              <w:autoSpaceDN w:val="0"/>
              <w:adjustRightInd w:val="0"/>
              <w:snapToGrid/>
              <w:ind w:left="-33" w:firstLine="0"/>
              <w:rPr>
                <w:color w:val="000000"/>
                <w:sz w:val="20"/>
                <w:szCs w:val="20"/>
              </w:rPr>
            </w:pPr>
            <w:r>
              <w:rPr>
                <w:color w:val="000000"/>
                <w:sz w:val="20"/>
                <w:szCs w:val="20"/>
              </w:rPr>
              <w:t>Member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Sungai </w:t>
            </w:r>
            <w:proofErr w:type="spellStart"/>
            <w:r w:rsidR="00844787" w:rsidRPr="007D73BA">
              <w:rPr>
                <w:color w:val="000000"/>
                <w:sz w:val="20"/>
                <w:szCs w:val="20"/>
              </w:rPr>
              <w:t>Merah</w:t>
            </w:r>
            <w:proofErr w:type="spellEnd"/>
            <w:r w:rsidR="00844787" w:rsidRPr="007D73BA">
              <w:rPr>
                <w:color w:val="000000"/>
                <w:sz w:val="20"/>
                <w:szCs w:val="20"/>
              </w:rPr>
              <w:t xml:space="preserve"> Lestari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sidR="00844787" w:rsidRPr="007D73BA">
              <w:rPr>
                <w:color w:val="000000"/>
                <w:sz w:val="20"/>
                <w:szCs w:val="20"/>
              </w:rPr>
              <w:t xml:space="preserve"> </w:t>
            </w:r>
            <w:r w:rsidR="005F74DE">
              <w:rPr>
                <w:color w:val="000000"/>
                <w:sz w:val="20"/>
                <w:szCs w:val="20"/>
              </w:rPr>
              <w:t>Village(</w:t>
            </w:r>
            <w:r w:rsidR="00844787" w:rsidRPr="007D73BA">
              <w:rPr>
                <w:color w:val="000000"/>
                <w:sz w:val="20"/>
                <w:szCs w:val="20"/>
              </w:rPr>
              <w:t xml:space="preserve">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5F74DE" w:rsidP="004F15FE">
            <w:pPr>
              <w:widowControl/>
              <w:autoSpaceDE w:val="0"/>
              <w:autoSpaceDN w:val="0"/>
              <w:adjustRightInd w:val="0"/>
              <w:snapToGrid/>
              <w:ind w:left="-33" w:firstLine="0"/>
              <w:rPr>
                <w:color w:val="000000"/>
                <w:sz w:val="20"/>
                <w:szCs w:val="20"/>
              </w:rPr>
            </w:pPr>
            <w:r>
              <w:rPr>
                <w:color w:val="000000"/>
                <w:sz w:val="20"/>
                <w:szCs w:val="20"/>
              </w:rPr>
              <w:t>Head of</w:t>
            </w:r>
            <w:r w:rsidR="00844787" w:rsidRPr="007D73BA">
              <w:rPr>
                <w:color w:val="000000"/>
                <w:sz w:val="20"/>
                <w:szCs w:val="20"/>
              </w:rPr>
              <w:t xml:space="preserve"> </w:t>
            </w:r>
            <w:proofErr w:type="spellStart"/>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Mitra</w:t>
            </w:r>
            <w:proofErr w:type="spellEnd"/>
            <w:r w:rsidR="00844787" w:rsidRPr="007D73BA">
              <w:rPr>
                <w:color w:val="000000"/>
                <w:sz w:val="20"/>
                <w:szCs w:val="20"/>
              </w:rPr>
              <w:t xml:space="preserve"> </w:t>
            </w:r>
            <w:proofErr w:type="spellStart"/>
            <w:r w:rsidR="00844787" w:rsidRPr="007D73BA">
              <w:rPr>
                <w:color w:val="000000"/>
                <w:sz w:val="20"/>
                <w:szCs w:val="20"/>
              </w:rPr>
              <w:t>Bersama</w:t>
            </w:r>
            <w:proofErr w:type="spellEnd"/>
            <w:r w:rsidR="00844787" w:rsidRPr="007D73BA">
              <w:rPr>
                <w:color w:val="000000"/>
                <w:sz w:val="20"/>
                <w:szCs w:val="20"/>
              </w:rPr>
              <w:t xml:space="preserve"> Sejahtera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Pr>
                <w:color w:val="000000"/>
                <w:sz w:val="20"/>
                <w:szCs w:val="20"/>
              </w:rPr>
              <w:t xml:space="preserve"> Village</w:t>
            </w:r>
          </w:p>
          <w:p w:rsidR="00844787" w:rsidRPr="007D73BA" w:rsidRDefault="00CF711D" w:rsidP="004F15FE">
            <w:pPr>
              <w:widowControl/>
              <w:autoSpaceDE w:val="0"/>
              <w:autoSpaceDN w:val="0"/>
              <w:adjustRightInd w:val="0"/>
              <w:snapToGrid/>
              <w:ind w:left="-33" w:firstLine="0"/>
              <w:rPr>
                <w:color w:val="000000"/>
                <w:sz w:val="20"/>
                <w:szCs w:val="20"/>
                <w:lang w:val="id-ID"/>
              </w:rPr>
            </w:pPr>
            <w:r>
              <w:rPr>
                <w:color w:val="000000"/>
                <w:sz w:val="20"/>
                <w:szCs w:val="20"/>
              </w:rPr>
              <w:t xml:space="preserve">Member </w:t>
            </w:r>
            <w:proofErr w:type="spellStart"/>
            <w:r>
              <w:rPr>
                <w:color w:val="000000"/>
                <w:sz w:val="20"/>
                <w:szCs w:val="20"/>
              </w:rPr>
              <w:t>of</w:t>
            </w:r>
            <w:r w:rsidR="00844787" w:rsidRPr="007D73BA">
              <w:rPr>
                <w:color w:val="000000"/>
                <w:sz w:val="20"/>
                <w:szCs w:val="20"/>
              </w:rPr>
              <w:t>Gapoktan</w:t>
            </w:r>
            <w:proofErr w:type="spellEnd"/>
            <w:r w:rsidR="00844787" w:rsidRPr="007D73BA">
              <w:rPr>
                <w:color w:val="000000"/>
                <w:sz w:val="20"/>
                <w:szCs w:val="20"/>
              </w:rPr>
              <w:t xml:space="preserve"> </w:t>
            </w:r>
            <w:proofErr w:type="spellStart"/>
            <w:r w:rsidR="00844787" w:rsidRPr="007D73BA">
              <w:rPr>
                <w:color w:val="000000"/>
                <w:sz w:val="20"/>
                <w:szCs w:val="20"/>
              </w:rPr>
              <w:t>Mitra</w:t>
            </w:r>
            <w:proofErr w:type="spellEnd"/>
            <w:r w:rsidR="00844787" w:rsidRPr="007D73BA">
              <w:rPr>
                <w:color w:val="000000"/>
                <w:sz w:val="20"/>
                <w:szCs w:val="20"/>
              </w:rPr>
              <w:t xml:space="preserve"> </w:t>
            </w:r>
            <w:proofErr w:type="spellStart"/>
            <w:r w:rsidR="00844787" w:rsidRPr="007D73BA">
              <w:rPr>
                <w:color w:val="000000"/>
                <w:sz w:val="20"/>
                <w:szCs w:val="20"/>
              </w:rPr>
              <w:t>Bersama</w:t>
            </w:r>
            <w:proofErr w:type="spellEnd"/>
            <w:r w:rsidR="00844787" w:rsidRPr="007D73BA">
              <w:rPr>
                <w:color w:val="000000"/>
                <w:sz w:val="20"/>
                <w:szCs w:val="20"/>
              </w:rPr>
              <w:t xml:space="preserve"> Sejahtera </w:t>
            </w:r>
            <w:proofErr w:type="spellStart"/>
            <w:r w:rsidR="00844787" w:rsidRPr="007D73BA">
              <w:rPr>
                <w:color w:val="000000"/>
                <w:sz w:val="20"/>
                <w:szCs w:val="20"/>
              </w:rPr>
              <w:t>Pangkalan</w:t>
            </w:r>
            <w:proofErr w:type="spellEnd"/>
            <w:r w:rsidR="00844787" w:rsidRPr="007D73BA">
              <w:rPr>
                <w:color w:val="000000"/>
                <w:sz w:val="20"/>
                <w:szCs w:val="20"/>
              </w:rPr>
              <w:t xml:space="preserve"> </w:t>
            </w:r>
            <w:proofErr w:type="spellStart"/>
            <w:r w:rsidR="00844787" w:rsidRPr="007D73BA">
              <w:rPr>
                <w:color w:val="000000"/>
                <w:sz w:val="20"/>
                <w:szCs w:val="20"/>
              </w:rPr>
              <w:t>Bulian</w:t>
            </w:r>
            <w:proofErr w:type="spellEnd"/>
            <w:r w:rsidR="005F74DE">
              <w:rPr>
                <w:color w:val="000000"/>
                <w:sz w:val="20"/>
                <w:szCs w:val="20"/>
              </w:rPr>
              <w:t xml:space="preserve"> Village</w:t>
            </w:r>
            <w:r w:rsidR="00844787" w:rsidRPr="007D73BA">
              <w:rPr>
                <w:color w:val="000000"/>
                <w:sz w:val="20"/>
                <w:szCs w:val="20"/>
              </w:rPr>
              <w:t xml:space="preserve"> (3 </w:t>
            </w:r>
            <w:proofErr w:type="spellStart"/>
            <w:r w:rsidR="00844787" w:rsidRPr="007D73BA">
              <w:rPr>
                <w:color w:val="000000"/>
                <w:sz w:val="20"/>
                <w:szCs w:val="20"/>
              </w:rPr>
              <w:t>orang</w:t>
            </w:r>
            <w:proofErr w:type="spellEnd"/>
            <w:r w:rsidR="00844787" w:rsidRPr="007D73BA">
              <w:rPr>
                <w:color w:val="000000"/>
                <w:sz w:val="20"/>
                <w:szCs w:val="20"/>
              </w:rPr>
              <w:t>)</w:t>
            </w:r>
          </w:p>
          <w:p w:rsidR="00844787" w:rsidRPr="007D73BA" w:rsidRDefault="005F74DE" w:rsidP="004F15FE">
            <w:pPr>
              <w:widowControl/>
              <w:autoSpaceDE w:val="0"/>
              <w:autoSpaceDN w:val="0"/>
              <w:adjustRightInd w:val="0"/>
              <w:snapToGrid/>
              <w:ind w:left="-33" w:firstLine="0"/>
              <w:rPr>
                <w:color w:val="000000"/>
                <w:sz w:val="20"/>
                <w:szCs w:val="20"/>
                <w:lang w:val="id-ID"/>
              </w:rPr>
            </w:pPr>
            <w:r>
              <w:rPr>
                <w:color w:val="000000"/>
                <w:sz w:val="20"/>
                <w:szCs w:val="20"/>
              </w:rPr>
              <w:t>Head of</w:t>
            </w:r>
            <w:r w:rsidR="00844787" w:rsidRPr="007D73BA">
              <w:rPr>
                <w:color w:val="000000"/>
                <w:sz w:val="20"/>
                <w:szCs w:val="20"/>
              </w:rPr>
              <w:t xml:space="preserve"> Program </w:t>
            </w:r>
            <w:proofErr w:type="spellStart"/>
            <w:r w:rsidR="00844787" w:rsidRPr="007D73BA">
              <w:rPr>
                <w:color w:val="000000"/>
                <w:sz w:val="20"/>
                <w:szCs w:val="20"/>
              </w:rPr>
              <w:t>Studi</w:t>
            </w:r>
            <w:proofErr w:type="spellEnd"/>
            <w:r w:rsidR="00844787" w:rsidRPr="007D73BA">
              <w:rPr>
                <w:color w:val="000000"/>
                <w:sz w:val="20"/>
                <w:szCs w:val="20"/>
              </w:rPr>
              <w:t xml:space="preserve"> </w:t>
            </w:r>
            <w:proofErr w:type="spellStart"/>
            <w:r w:rsidR="00844787" w:rsidRPr="007D73BA">
              <w:rPr>
                <w:color w:val="000000"/>
                <w:sz w:val="20"/>
                <w:szCs w:val="20"/>
              </w:rPr>
              <w:t>Kehutanan</w:t>
            </w:r>
            <w:proofErr w:type="spellEnd"/>
            <w:r w:rsidR="00844787" w:rsidRPr="007D73BA">
              <w:rPr>
                <w:color w:val="000000"/>
                <w:sz w:val="20"/>
                <w:szCs w:val="20"/>
              </w:rPr>
              <w:t xml:space="preserve"> </w:t>
            </w:r>
            <w:proofErr w:type="spellStart"/>
            <w:r w:rsidR="00844787" w:rsidRPr="007D73BA">
              <w:rPr>
                <w:color w:val="000000"/>
                <w:sz w:val="20"/>
                <w:szCs w:val="20"/>
              </w:rPr>
              <w:t>UMPalembang</w:t>
            </w:r>
            <w:proofErr w:type="spellEnd"/>
            <w:r w:rsidR="00844787" w:rsidRPr="007D73BA">
              <w:rPr>
                <w:color w:val="000000"/>
                <w:sz w:val="20"/>
                <w:szCs w:val="20"/>
              </w:rPr>
              <w:t xml:space="preserve"> (</w:t>
            </w:r>
            <w:r w:rsidR="0086057D">
              <w:rPr>
                <w:color w:val="000000"/>
                <w:sz w:val="20"/>
                <w:szCs w:val="20"/>
              </w:rPr>
              <w:t>Academician</w:t>
            </w:r>
            <w:r w:rsidR="00844787" w:rsidRPr="007D73BA">
              <w:rPr>
                <w:color w:val="000000"/>
                <w:sz w:val="20"/>
                <w:szCs w:val="20"/>
              </w:rPr>
              <w:t>)</w:t>
            </w:r>
          </w:p>
          <w:p w:rsidR="00844787" w:rsidRPr="007D73BA" w:rsidRDefault="00844787" w:rsidP="004F15FE">
            <w:pPr>
              <w:widowControl/>
              <w:autoSpaceDE w:val="0"/>
              <w:autoSpaceDN w:val="0"/>
              <w:adjustRightInd w:val="0"/>
              <w:snapToGrid/>
              <w:ind w:left="-33" w:firstLine="0"/>
              <w:rPr>
                <w:color w:val="000000"/>
                <w:sz w:val="20"/>
                <w:szCs w:val="20"/>
                <w:lang w:val="id-ID"/>
              </w:rPr>
            </w:pPr>
            <w:proofErr w:type="spellStart"/>
            <w:r w:rsidRPr="007D73BA">
              <w:rPr>
                <w:color w:val="000000"/>
                <w:sz w:val="20"/>
                <w:szCs w:val="20"/>
              </w:rPr>
              <w:t>Hutan</w:t>
            </w:r>
            <w:proofErr w:type="spellEnd"/>
            <w:r w:rsidRPr="007D73BA">
              <w:rPr>
                <w:color w:val="000000"/>
                <w:sz w:val="20"/>
                <w:szCs w:val="20"/>
              </w:rPr>
              <w:t xml:space="preserve"> Kita Institute-</w:t>
            </w:r>
            <w:proofErr w:type="spellStart"/>
            <w:r w:rsidRPr="007D73BA">
              <w:rPr>
                <w:color w:val="000000"/>
                <w:sz w:val="20"/>
                <w:szCs w:val="20"/>
              </w:rPr>
              <w:t>HaKI</w:t>
            </w:r>
            <w:proofErr w:type="spellEnd"/>
            <w:r w:rsidRPr="007D73BA">
              <w:rPr>
                <w:color w:val="000000"/>
                <w:sz w:val="20"/>
                <w:szCs w:val="20"/>
              </w:rPr>
              <w:t xml:space="preserve"> (</w:t>
            </w:r>
            <w:r w:rsidR="0086057D">
              <w:rPr>
                <w:color w:val="000000"/>
                <w:sz w:val="20"/>
                <w:szCs w:val="20"/>
              </w:rPr>
              <w:t>NGO</w:t>
            </w:r>
            <w:r w:rsidRPr="007D73BA">
              <w:rPr>
                <w:color w:val="000000"/>
                <w:sz w:val="20"/>
                <w:szCs w:val="20"/>
              </w:rPr>
              <w:t>)</w:t>
            </w:r>
          </w:p>
          <w:p w:rsidR="00844787" w:rsidRPr="007D73BA" w:rsidRDefault="00844787" w:rsidP="004F15FE">
            <w:pPr>
              <w:widowControl/>
              <w:autoSpaceDE w:val="0"/>
              <w:autoSpaceDN w:val="0"/>
              <w:adjustRightInd w:val="0"/>
              <w:snapToGrid/>
              <w:ind w:left="-33" w:firstLine="0"/>
              <w:rPr>
                <w:color w:val="000000"/>
                <w:sz w:val="20"/>
                <w:szCs w:val="20"/>
                <w:lang w:val="id-ID"/>
              </w:rPr>
            </w:pPr>
            <w:proofErr w:type="spellStart"/>
            <w:r w:rsidRPr="007D73BA">
              <w:rPr>
                <w:color w:val="000000"/>
                <w:sz w:val="20"/>
                <w:szCs w:val="20"/>
              </w:rPr>
              <w:t>Lingkar</w:t>
            </w:r>
            <w:proofErr w:type="spellEnd"/>
            <w:r w:rsidRPr="007D73BA">
              <w:rPr>
                <w:color w:val="000000"/>
                <w:sz w:val="20"/>
                <w:szCs w:val="20"/>
              </w:rPr>
              <w:t xml:space="preserve"> </w:t>
            </w:r>
            <w:proofErr w:type="spellStart"/>
            <w:r w:rsidRPr="007D73BA">
              <w:rPr>
                <w:color w:val="000000"/>
                <w:sz w:val="20"/>
                <w:szCs w:val="20"/>
              </w:rPr>
              <w:t>Hijau</w:t>
            </w:r>
            <w:proofErr w:type="spellEnd"/>
            <w:r w:rsidRPr="007D73BA">
              <w:rPr>
                <w:color w:val="000000"/>
                <w:sz w:val="20"/>
                <w:szCs w:val="20"/>
              </w:rPr>
              <w:t xml:space="preserve"> (</w:t>
            </w:r>
            <w:r w:rsidR="0086057D">
              <w:rPr>
                <w:color w:val="000000"/>
                <w:sz w:val="20"/>
                <w:szCs w:val="20"/>
              </w:rPr>
              <w:t>NGO</w:t>
            </w:r>
            <w:r w:rsidRPr="007D73BA">
              <w:rPr>
                <w:color w:val="000000"/>
                <w:sz w:val="20"/>
                <w:szCs w:val="20"/>
              </w:rPr>
              <w:t>)</w:t>
            </w:r>
          </w:p>
          <w:p w:rsidR="00844787" w:rsidRPr="007B18A2" w:rsidRDefault="00844787" w:rsidP="004F15FE">
            <w:pPr>
              <w:widowControl/>
              <w:autoSpaceDE w:val="0"/>
              <w:autoSpaceDN w:val="0"/>
              <w:adjustRightInd w:val="0"/>
              <w:snapToGrid/>
              <w:ind w:left="-33" w:firstLine="0"/>
              <w:rPr>
                <w:color w:val="000000"/>
                <w:sz w:val="20"/>
                <w:szCs w:val="20"/>
                <w:lang w:val="id-ID"/>
              </w:rPr>
            </w:pPr>
            <w:proofErr w:type="spellStart"/>
            <w:r w:rsidRPr="007D73BA">
              <w:rPr>
                <w:color w:val="000000"/>
                <w:sz w:val="20"/>
                <w:szCs w:val="20"/>
              </w:rPr>
              <w:t>Kelola</w:t>
            </w:r>
            <w:proofErr w:type="spellEnd"/>
            <w:r w:rsidRPr="007D73BA">
              <w:rPr>
                <w:color w:val="000000"/>
                <w:sz w:val="20"/>
                <w:szCs w:val="20"/>
              </w:rPr>
              <w:t xml:space="preserve"> </w:t>
            </w:r>
            <w:proofErr w:type="spellStart"/>
            <w:r w:rsidRPr="007D73BA">
              <w:rPr>
                <w:color w:val="000000"/>
                <w:sz w:val="20"/>
                <w:szCs w:val="20"/>
              </w:rPr>
              <w:t>Sendang</w:t>
            </w:r>
            <w:proofErr w:type="spellEnd"/>
            <w:r w:rsidRPr="007D73BA">
              <w:rPr>
                <w:color w:val="000000"/>
                <w:sz w:val="20"/>
                <w:szCs w:val="20"/>
              </w:rPr>
              <w:t xml:space="preserve"> Project, Zoological Society of London-ZSL (</w:t>
            </w:r>
            <w:r w:rsidR="00CF711D">
              <w:rPr>
                <w:color w:val="000000"/>
                <w:sz w:val="20"/>
                <w:szCs w:val="20"/>
              </w:rPr>
              <w:t>South Sumatra green development member</w:t>
            </w:r>
            <w:r w:rsidRPr="007D73BA">
              <w:rPr>
                <w:color w:val="000000"/>
                <w:sz w:val="20"/>
                <w:szCs w:val="20"/>
              </w:rPr>
              <w:t>)</w:t>
            </w:r>
          </w:p>
        </w:tc>
      </w:tr>
    </w:tbl>
    <w:p w:rsidR="007B18A2" w:rsidRDefault="007B18A2" w:rsidP="007B18A2">
      <w:pPr>
        <w:pStyle w:val="JudulGambar"/>
        <w:spacing w:line="240" w:lineRule="auto"/>
        <w:outlineLvl w:val="0"/>
        <w:rPr>
          <w:sz w:val="24"/>
        </w:rPr>
      </w:pPr>
      <w:bookmarkStart w:id="1" w:name="_Toc2873286"/>
    </w:p>
    <w:p w:rsidR="00676F3A" w:rsidRPr="007D73BA" w:rsidRDefault="00676F3A" w:rsidP="007B18A2">
      <w:pPr>
        <w:pStyle w:val="JudulGambar"/>
        <w:spacing w:line="240" w:lineRule="auto"/>
        <w:outlineLvl w:val="0"/>
        <w:rPr>
          <w:sz w:val="24"/>
        </w:rPr>
      </w:pPr>
      <w:r w:rsidRPr="007D73BA">
        <w:rPr>
          <w:sz w:val="24"/>
        </w:rPr>
        <w:t>Tab</w:t>
      </w:r>
      <w:r w:rsidR="00CC6A21">
        <w:rPr>
          <w:sz w:val="24"/>
          <w:lang w:val="en-US"/>
        </w:rPr>
        <w:t>le</w:t>
      </w:r>
      <w:r w:rsidR="00321CF5">
        <w:rPr>
          <w:sz w:val="24"/>
          <w:lang w:val="en-US"/>
        </w:rPr>
        <w:t>2</w:t>
      </w:r>
      <w:r w:rsidRPr="007D73BA">
        <w:rPr>
          <w:sz w:val="24"/>
        </w:rPr>
        <w:t xml:space="preserve">. </w:t>
      </w:r>
      <w:r w:rsidR="00CC6A21">
        <w:rPr>
          <w:sz w:val="24"/>
          <w:lang w:val="en-US"/>
        </w:rPr>
        <w:t>Secondary Data and Sources</w:t>
      </w:r>
      <w:bookmarkEnd w:id="1"/>
    </w:p>
    <w:tbl>
      <w:tblPr>
        <w:tblStyle w:val="TableGrid"/>
        <w:tblW w:w="8505" w:type="dxa"/>
        <w:tblBorders>
          <w:left w:val="none" w:sz="0" w:space="0" w:color="auto"/>
          <w:right w:val="none" w:sz="0" w:space="0" w:color="auto"/>
          <w:insideV w:val="none" w:sz="0" w:space="0" w:color="auto"/>
        </w:tblBorders>
        <w:tblLook w:val="04A0"/>
      </w:tblPr>
      <w:tblGrid>
        <w:gridCol w:w="562"/>
        <w:gridCol w:w="3969"/>
        <w:gridCol w:w="3974"/>
      </w:tblGrid>
      <w:tr w:rsidR="00676F3A" w:rsidTr="007D73BA">
        <w:trPr>
          <w:tblHeader/>
        </w:trPr>
        <w:tc>
          <w:tcPr>
            <w:tcW w:w="562" w:type="dxa"/>
            <w:tcBorders>
              <w:top w:val="single" w:sz="4" w:space="0" w:color="000000" w:themeColor="text1"/>
              <w:left w:val="nil"/>
              <w:bottom w:val="single" w:sz="4" w:space="0" w:color="000000" w:themeColor="text1"/>
              <w:right w:val="nil"/>
            </w:tcBorders>
            <w:shd w:val="clear" w:color="auto" w:fill="D9D9D9" w:themeFill="background1" w:themeFillShade="D9"/>
            <w:hideMark/>
          </w:tcPr>
          <w:p w:rsidR="00676F3A" w:rsidRDefault="00676F3A" w:rsidP="00DC4912">
            <w:pPr>
              <w:ind w:firstLine="0"/>
              <w:jc w:val="center"/>
              <w:rPr>
                <w:b/>
                <w:kern w:val="0"/>
                <w:sz w:val="20"/>
              </w:rPr>
            </w:pPr>
            <w:r>
              <w:rPr>
                <w:b/>
                <w:kern w:val="0"/>
                <w:sz w:val="20"/>
              </w:rPr>
              <w:t>No</w:t>
            </w:r>
          </w:p>
        </w:tc>
        <w:tc>
          <w:tcPr>
            <w:tcW w:w="3969" w:type="dxa"/>
            <w:tcBorders>
              <w:top w:val="single" w:sz="4" w:space="0" w:color="000000" w:themeColor="text1"/>
              <w:left w:val="nil"/>
              <w:bottom w:val="single" w:sz="4" w:space="0" w:color="000000" w:themeColor="text1"/>
              <w:right w:val="nil"/>
            </w:tcBorders>
            <w:shd w:val="clear" w:color="auto" w:fill="D9D9D9" w:themeFill="background1" w:themeFillShade="D9"/>
            <w:hideMark/>
          </w:tcPr>
          <w:p w:rsidR="00676F3A" w:rsidRDefault="00676F3A" w:rsidP="00DC4912">
            <w:pPr>
              <w:ind w:firstLine="0"/>
              <w:jc w:val="center"/>
              <w:rPr>
                <w:b/>
                <w:kern w:val="0"/>
                <w:sz w:val="20"/>
              </w:rPr>
            </w:pPr>
            <w:r>
              <w:rPr>
                <w:b/>
                <w:kern w:val="0"/>
                <w:sz w:val="20"/>
              </w:rPr>
              <w:t>Data</w:t>
            </w:r>
          </w:p>
        </w:tc>
        <w:tc>
          <w:tcPr>
            <w:tcW w:w="3974" w:type="dxa"/>
            <w:tcBorders>
              <w:top w:val="single" w:sz="4" w:space="0" w:color="000000" w:themeColor="text1"/>
              <w:left w:val="nil"/>
              <w:bottom w:val="single" w:sz="4" w:space="0" w:color="000000" w:themeColor="text1"/>
              <w:right w:val="nil"/>
            </w:tcBorders>
            <w:shd w:val="clear" w:color="auto" w:fill="D9D9D9" w:themeFill="background1" w:themeFillShade="D9"/>
            <w:hideMark/>
          </w:tcPr>
          <w:p w:rsidR="00676F3A" w:rsidRDefault="00CC6A21" w:rsidP="00DC4912">
            <w:pPr>
              <w:ind w:firstLine="0"/>
              <w:jc w:val="center"/>
              <w:rPr>
                <w:b/>
                <w:kern w:val="0"/>
                <w:sz w:val="20"/>
              </w:rPr>
            </w:pPr>
            <w:r>
              <w:rPr>
                <w:b/>
                <w:kern w:val="0"/>
                <w:sz w:val="20"/>
              </w:rPr>
              <w:t>Sources</w:t>
            </w:r>
          </w:p>
        </w:tc>
      </w:tr>
      <w:tr w:rsidR="00676F3A" w:rsidTr="007D73BA">
        <w:tc>
          <w:tcPr>
            <w:tcW w:w="562" w:type="dxa"/>
            <w:tcBorders>
              <w:top w:val="single" w:sz="4" w:space="0" w:color="000000" w:themeColor="text1"/>
              <w:left w:val="nil"/>
              <w:bottom w:val="nil"/>
              <w:right w:val="nil"/>
            </w:tcBorders>
            <w:hideMark/>
          </w:tcPr>
          <w:p w:rsidR="00676F3A" w:rsidRDefault="00676F3A" w:rsidP="00DC4912">
            <w:pPr>
              <w:ind w:firstLine="0"/>
              <w:jc w:val="center"/>
              <w:rPr>
                <w:kern w:val="0"/>
                <w:sz w:val="20"/>
              </w:rPr>
            </w:pPr>
            <w:r>
              <w:rPr>
                <w:kern w:val="0"/>
                <w:sz w:val="20"/>
              </w:rPr>
              <w:t>1</w:t>
            </w:r>
          </w:p>
        </w:tc>
        <w:tc>
          <w:tcPr>
            <w:tcW w:w="3969" w:type="dxa"/>
            <w:tcBorders>
              <w:top w:val="single" w:sz="4" w:space="0" w:color="000000" w:themeColor="text1"/>
              <w:left w:val="nil"/>
              <w:bottom w:val="nil"/>
              <w:right w:val="nil"/>
            </w:tcBorders>
            <w:hideMark/>
          </w:tcPr>
          <w:p w:rsidR="00676F3A" w:rsidRDefault="00CC6A21" w:rsidP="00DC4912">
            <w:pPr>
              <w:ind w:firstLine="0"/>
              <w:rPr>
                <w:kern w:val="0"/>
                <w:sz w:val="20"/>
                <w:lang w:val="id-ID"/>
              </w:rPr>
            </w:pPr>
            <w:r>
              <w:rPr>
                <w:rFonts w:cs="Times New Roman"/>
                <w:color w:val="000000"/>
                <w:kern w:val="0"/>
                <w:sz w:val="20"/>
                <w:szCs w:val="23"/>
              </w:rPr>
              <w:t>Decree and</w:t>
            </w:r>
            <w:r w:rsidRPr="00CC6A21">
              <w:rPr>
                <w:rFonts w:cs="Times New Roman"/>
                <w:color w:val="000000"/>
                <w:kern w:val="0"/>
                <w:sz w:val="20"/>
                <w:szCs w:val="23"/>
                <w:lang w:val="id-ID"/>
              </w:rPr>
              <w:t>licensing documents (work plan, member name, area map, etc.)</w:t>
            </w:r>
            <w:r>
              <w:rPr>
                <w:rFonts w:cs="Times New Roman"/>
                <w:color w:val="000000"/>
                <w:kern w:val="0"/>
                <w:sz w:val="20"/>
                <w:szCs w:val="23"/>
              </w:rPr>
              <w:t xml:space="preserve"> of</w:t>
            </w:r>
            <w:r w:rsidRPr="00CC6A21">
              <w:rPr>
                <w:rFonts w:cs="Times New Roman"/>
                <w:color w:val="000000"/>
                <w:kern w:val="0"/>
                <w:sz w:val="20"/>
                <w:szCs w:val="23"/>
                <w:lang w:val="id-ID"/>
              </w:rPr>
              <w:t xml:space="preserve"> social forestry.</w:t>
            </w:r>
          </w:p>
        </w:tc>
        <w:tc>
          <w:tcPr>
            <w:tcW w:w="3974" w:type="dxa"/>
            <w:tcBorders>
              <w:top w:val="single" w:sz="4" w:space="0" w:color="000000" w:themeColor="text1"/>
              <w:left w:val="nil"/>
              <w:bottom w:val="nil"/>
              <w:right w:val="nil"/>
            </w:tcBorders>
            <w:hideMark/>
          </w:tcPr>
          <w:p w:rsidR="00676F3A" w:rsidRPr="00CC6A21" w:rsidRDefault="00676F3A" w:rsidP="00DC4912">
            <w:pPr>
              <w:ind w:firstLine="0"/>
              <w:jc w:val="left"/>
              <w:rPr>
                <w:rFonts w:eastAsiaTheme="minorEastAsia"/>
                <w:kern w:val="0"/>
                <w:sz w:val="20"/>
                <w:lang w:eastAsia="zh-CN"/>
              </w:rPr>
            </w:pPr>
            <w:proofErr w:type="spellStart"/>
            <w:r>
              <w:rPr>
                <w:kern w:val="0"/>
                <w:sz w:val="20"/>
              </w:rPr>
              <w:t>Gapoktan</w:t>
            </w:r>
            <w:proofErr w:type="spellEnd"/>
            <w:r>
              <w:rPr>
                <w:kern w:val="0"/>
                <w:sz w:val="20"/>
              </w:rPr>
              <w:t xml:space="preserve">/KUD/LPHD/ UPTD KPH </w:t>
            </w:r>
            <w:proofErr w:type="spellStart"/>
            <w:r>
              <w:rPr>
                <w:kern w:val="0"/>
                <w:sz w:val="20"/>
              </w:rPr>
              <w:t>Wil</w:t>
            </w:r>
            <w:proofErr w:type="spellEnd"/>
            <w:r>
              <w:rPr>
                <w:kern w:val="0"/>
                <w:sz w:val="20"/>
              </w:rPr>
              <w:t xml:space="preserve">. 1 </w:t>
            </w:r>
            <w:proofErr w:type="spellStart"/>
            <w:r>
              <w:rPr>
                <w:kern w:val="0"/>
                <w:sz w:val="20"/>
              </w:rPr>
              <w:t>Meranti</w:t>
            </w:r>
            <w:proofErr w:type="spellEnd"/>
            <w:r>
              <w:rPr>
                <w:kern w:val="0"/>
                <w:sz w:val="20"/>
              </w:rPr>
              <w:t>/</w:t>
            </w:r>
            <w:r w:rsidR="00CC6A21">
              <w:rPr>
                <w:kern w:val="0"/>
                <w:sz w:val="20"/>
              </w:rPr>
              <w:t>forest office</w:t>
            </w:r>
            <w:r>
              <w:rPr>
                <w:kern w:val="0"/>
                <w:sz w:val="20"/>
              </w:rPr>
              <w:t xml:space="preserve">/ </w:t>
            </w:r>
            <w:r w:rsidR="00CC6A21">
              <w:rPr>
                <w:kern w:val="0"/>
                <w:sz w:val="20"/>
              </w:rPr>
              <w:t>NGO and green development member as facilitator</w:t>
            </w:r>
            <w:r w:rsidR="00CC6A21">
              <w:rPr>
                <w:rFonts w:eastAsiaTheme="minorEastAsia"/>
                <w:kern w:val="0"/>
                <w:sz w:val="20"/>
                <w:lang w:eastAsia="zh-CN"/>
              </w:rPr>
              <w:t>s</w:t>
            </w:r>
          </w:p>
        </w:tc>
      </w:tr>
      <w:tr w:rsidR="00676F3A" w:rsidTr="007D73BA">
        <w:tc>
          <w:tcPr>
            <w:tcW w:w="562" w:type="dxa"/>
            <w:tcBorders>
              <w:top w:val="nil"/>
              <w:left w:val="nil"/>
              <w:bottom w:val="nil"/>
              <w:right w:val="nil"/>
            </w:tcBorders>
            <w:hideMark/>
          </w:tcPr>
          <w:p w:rsidR="00676F3A" w:rsidRDefault="00676F3A" w:rsidP="00DC4912">
            <w:pPr>
              <w:ind w:firstLine="0"/>
              <w:jc w:val="center"/>
              <w:rPr>
                <w:kern w:val="0"/>
                <w:sz w:val="20"/>
              </w:rPr>
            </w:pPr>
            <w:r>
              <w:rPr>
                <w:kern w:val="0"/>
                <w:sz w:val="20"/>
              </w:rPr>
              <w:t>2</w:t>
            </w:r>
          </w:p>
        </w:tc>
        <w:tc>
          <w:tcPr>
            <w:tcW w:w="3969" w:type="dxa"/>
            <w:tcBorders>
              <w:top w:val="nil"/>
              <w:left w:val="nil"/>
              <w:bottom w:val="nil"/>
              <w:right w:val="nil"/>
            </w:tcBorders>
            <w:hideMark/>
          </w:tcPr>
          <w:p w:rsidR="00676F3A" w:rsidRDefault="00CC6A21" w:rsidP="00DC4912">
            <w:pPr>
              <w:ind w:firstLine="0"/>
              <w:rPr>
                <w:rFonts w:cs="Times New Roman"/>
                <w:color w:val="000000"/>
                <w:kern w:val="0"/>
                <w:sz w:val="20"/>
                <w:szCs w:val="23"/>
              </w:rPr>
            </w:pPr>
            <w:r w:rsidRPr="00CC6A21">
              <w:rPr>
                <w:rFonts w:cs="Times New Roman"/>
                <w:color w:val="000000"/>
                <w:kern w:val="0"/>
                <w:sz w:val="20"/>
                <w:szCs w:val="23"/>
              </w:rPr>
              <w:t>Socio-economic data, village potential, and population</w:t>
            </w:r>
            <w:r w:rsidR="00676F3A">
              <w:rPr>
                <w:rFonts w:cs="Times New Roman"/>
                <w:color w:val="000000"/>
                <w:kern w:val="0"/>
                <w:sz w:val="20"/>
                <w:szCs w:val="23"/>
              </w:rPr>
              <w:t xml:space="preserve">. </w:t>
            </w:r>
          </w:p>
        </w:tc>
        <w:tc>
          <w:tcPr>
            <w:tcW w:w="3974" w:type="dxa"/>
            <w:tcBorders>
              <w:top w:val="nil"/>
              <w:left w:val="nil"/>
              <w:bottom w:val="nil"/>
              <w:right w:val="nil"/>
            </w:tcBorders>
            <w:hideMark/>
          </w:tcPr>
          <w:p w:rsidR="00676F3A" w:rsidRDefault="00CC6A21" w:rsidP="00DC4912">
            <w:pPr>
              <w:ind w:firstLine="0"/>
              <w:rPr>
                <w:kern w:val="0"/>
                <w:sz w:val="20"/>
              </w:rPr>
            </w:pPr>
            <w:r>
              <w:rPr>
                <w:kern w:val="0"/>
                <w:sz w:val="20"/>
              </w:rPr>
              <w:t xml:space="preserve">Statistic </w:t>
            </w:r>
            <w:proofErr w:type="spellStart"/>
            <w:r>
              <w:rPr>
                <w:kern w:val="0"/>
                <w:sz w:val="20"/>
              </w:rPr>
              <w:t>Bereau</w:t>
            </w:r>
            <w:proofErr w:type="spellEnd"/>
          </w:p>
        </w:tc>
      </w:tr>
      <w:tr w:rsidR="00676F3A" w:rsidTr="007D73BA">
        <w:tc>
          <w:tcPr>
            <w:tcW w:w="562" w:type="dxa"/>
            <w:tcBorders>
              <w:top w:val="nil"/>
              <w:left w:val="nil"/>
              <w:bottom w:val="single" w:sz="4" w:space="0" w:color="000000" w:themeColor="text1"/>
              <w:right w:val="nil"/>
            </w:tcBorders>
            <w:hideMark/>
          </w:tcPr>
          <w:p w:rsidR="00676F3A" w:rsidRDefault="00676F3A" w:rsidP="00DC4912">
            <w:pPr>
              <w:ind w:firstLine="0"/>
              <w:jc w:val="center"/>
              <w:rPr>
                <w:kern w:val="0"/>
                <w:sz w:val="20"/>
              </w:rPr>
            </w:pPr>
            <w:r>
              <w:rPr>
                <w:kern w:val="0"/>
                <w:sz w:val="20"/>
              </w:rPr>
              <w:t>3</w:t>
            </w:r>
          </w:p>
        </w:tc>
        <w:tc>
          <w:tcPr>
            <w:tcW w:w="3969" w:type="dxa"/>
            <w:tcBorders>
              <w:top w:val="nil"/>
              <w:left w:val="nil"/>
              <w:bottom w:val="single" w:sz="4" w:space="0" w:color="000000" w:themeColor="text1"/>
              <w:right w:val="nil"/>
            </w:tcBorders>
            <w:hideMark/>
          </w:tcPr>
          <w:p w:rsidR="00676F3A" w:rsidRDefault="00CC6A21" w:rsidP="00DC4912">
            <w:pPr>
              <w:ind w:firstLine="0"/>
              <w:rPr>
                <w:rFonts w:cs="Times New Roman"/>
                <w:color w:val="000000"/>
                <w:kern w:val="0"/>
                <w:sz w:val="20"/>
                <w:szCs w:val="23"/>
              </w:rPr>
            </w:pPr>
            <w:r w:rsidRPr="00CC6A21">
              <w:rPr>
                <w:rFonts w:cs="Times New Roman"/>
                <w:color w:val="000000"/>
                <w:kern w:val="0"/>
                <w:sz w:val="20"/>
                <w:szCs w:val="23"/>
              </w:rPr>
              <w:t>Map of forest areas, Indicative Maps and Social Forestry Areas</w:t>
            </w:r>
            <w:r>
              <w:rPr>
                <w:rFonts w:cs="Times New Roman"/>
                <w:color w:val="000000"/>
                <w:kern w:val="0"/>
                <w:sz w:val="20"/>
                <w:szCs w:val="23"/>
              </w:rPr>
              <w:t xml:space="preserve"> (PIAPS)</w:t>
            </w:r>
            <w:r w:rsidRPr="00CC6A21">
              <w:rPr>
                <w:rFonts w:cs="Times New Roman"/>
                <w:color w:val="000000"/>
                <w:kern w:val="0"/>
                <w:sz w:val="20"/>
                <w:szCs w:val="23"/>
              </w:rPr>
              <w:t xml:space="preserve"> of South Sumatra and MSM HL satellite imagery </w:t>
            </w:r>
            <w:r w:rsidR="00676F3A">
              <w:rPr>
                <w:rFonts w:cs="Times New Roman"/>
                <w:color w:val="000000"/>
                <w:kern w:val="0"/>
                <w:sz w:val="20"/>
                <w:szCs w:val="23"/>
              </w:rPr>
              <w:t>(</w:t>
            </w:r>
            <w:r w:rsidR="00676F3A">
              <w:rPr>
                <w:rFonts w:cs="Times New Roman"/>
                <w:i/>
                <w:color w:val="000000"/>
                <w:kern w:val="0"/>
                <w:sz w:val="20"/>
                <w:szCs w:val="23"/>
              </w:rPr>
              <w:t>time series</w:t>
            </w:r>
            <w:r w:rsidR="00676F3A">
              <w:rPr>
                <w:rFonts w:cs="Times New Roman"/>
                <w:color w:val="000000"/>
                <w:kern w:val="0"/>
                <w:sz w:val="20"/>
                <w:szCs w:val="23"/>
              </w:rPr>
              <w:t>)</w:t>
            </w:r>
          </w:p>
        </w:tc>
        <w:tc>
          <w:tcPr>
            <w:tcW w:w="3974" w:type="dxa"/>
            <w:tcBorders>
              <w:top w:val="nil"/>
              <w:left w:val="nil"/>
              <w:bottom w:val="single" w:sz="4" w:space="0" w:color="000000" w:themeColor="text1"/>
              <w:right w:val="nil"/>
            </w:tcBorders>
            <w:hideMark/>
          </w:tcPr>
          <w:p w:rsidR="00676F3A" w:rsidRDefault="00676F3A" w:rsidP="00DC4912">
            <w:pPr>
              <w:ind w:firstLine="0"/>
              <w:rPr>
                <w:kern w:val="0"/>
                <w:sz w:val="20"/>
              </w:rPr>
            </w:pPr>
            <w:r>
              <w:rPr>
                <w:kern w:val="0"/>
                <w:sz w:val="20"/>
              </w:rPr>
              <w:t xml:space="preserve">BPKH </w:t>
            </w:r>
            <w:r w:rsidR="006F5D2D">
              <w:rPr>
                <w:kern w:val="0"/>
                <w:sz w:val="20"/>
              </w:rPr>
              <w:t>Reg</w:t>
            </w:r>
            <w:r>
              <w:rPr>
                <w:kern w:val="0"/>
                <w:sz w:val="20"/>
              </w:rPr>
              <w:t>. 5 Palembang, ICRAF</w:t>
            </w:r>
          </w:p>
        </w:tc>
      </w:tr>
    </w:tbl>
    <w:p w:rsidR="00504993" w:rsidRPr="00504993" w:rsidRDefault="00504993" w:rsidP="00504993">
      <w:pPr>
        <w:rPr>
          <w:lang w:val="id-ID"/>
        </w:rPr>
      </w:pPr>
      <w:r w:rsidRPr="00504993">
        <w:rPr>
          <w:lang w:val="id-ID"/>
        </w:rPr>
        <w:t>After obtaining the data, then it is to analyze the data to answer written research questions. Data analysis according to Patton is the process of arranging data sequences, organizing them into a basic description category and unit pattern. Furthermore, data analysis is carried out quantitatively to see the status of social forestry areas. Spatial analysis was carried out with the ArcGIS 10.5 tool to get the distribution of PIAPS around the MSM protected forest. In addition, a qualitative analysis was also conducted to see the factors of policy implementation.</w:t>
      </w:r>
    </w:p>
    <w:p w:rsidR="00504993" w:rsidRPr="00504993" w:rsidRDefault="00504993" w:rsidP="00504993">
      <w:pPr>
        <w:rPr>
          <w:lang w:val="id-ID"/>
        </w:rPr>
      </w:pPr>
      <w:r w:rsidRPr="00504993">
        <w:rPr>
          <w:lang w:val="id-ID"/>
        </w:rPr>
        <w:t xml:space="preserve">Referring to Irawan (2006) and Miles and Huberman (1992), the data analysis is done by: 1) Data reduction, after from the research location, the field data obtained is </w:t>
      </w:r>
      <w:r w:rsidRPr="00504993">
        <w:rPr>
          <w:lang w:val="id-ID"/>
        </w:rPr>
        <w:lastRenderedPageBreak/>
        <w:t>poured, reduced and summarized, and then sorted things out important and look for patterns or themes through the process of editing and coding; 2) Data display, has the purpose to make it easier for researchers to see the overall picture or certain parts of the research data so that it allows the conclusion and action taking; and 3) Conclusing drawing/verification.</w:t>
      </w:r>
    </w:p>
    <w:p w:rsidR="0068711D" w:rsidRDefault="00504993" w:rsidP="00504993">
      <w:pPr>
        <w:rPr>
          <w:lang w:val="id-ID"/>
        </w:rPr>
      </w:pPr>
      <w:r w:rsidRPr="00504993">
        <w:rPr>
          <w:lang w:val="id-ID"/>
        </w:rPr>
        <w:t xml:space="preserve">These three stages are interrelated at the time before, during and after data collection in a form that is parallel and is a cycle and interactive process. This study uses the Edward III model policy implementation approach, namely the implementation of policies that are influenced by 4 variables such as resources, communication, disposition and bureaucratic structure (Table </w:t>
      </w:r>
      <w:r>
        <w:t>3</w:t>
      </w:r>
      <w:r w:rsidRPr="00504993">
        <w:rPr>
          <w:lang w:val="id-ID"/>
        </w:rPr>
        <w:t>).</w:t>
      </w:r>
    </w:p>
    <w:p w:rsidR="0068711D" w:rsidRPr="00321CF5" w:rsidRDefault="0068711D" w:rsidP="0068711D">
      <w:pPr>
        <w:pStyle w:val="JudulGambar"/>
        <w:rPr>
          <w:sz w:val="24"/>
        </w:rPr>
      </w:pPr>
      <w:bookmarkStart w:id="2" w:name="_Toc2873287"/>
      <w:r w:rsidRPr="00321CF5">
        <w:rPr>
          <w:sz w:val="24"/>
        </w:rPr>
        <w:t xml:space="preserve">Tabel </w:t>
      </w:r>
      <w:r w:rsidR="00504993">
        <w:rPr>
          <w:sz w:val="24"/>
          <w:lang w:val="en-US"/>
        </w:rPr>
        <w:t>3</w:t>
      </w:r>
      <w:r w:rsidRPr="00321CF5">
        <w:rPr>
          <w:sz w:val="24"/>
        </w:rPr>
        <w:t xml:space="preserve">. </w:t>
      </w:r>
      <w:r w:rsidR="00993E49">
        <w:rPr>
          <w:sz w:val="24"/>
          <w:lang w:val="en-US"/>
        </w:rPr>
        <w:t xml:space="preserve">Variable </w:t>
      </w:r>
      <w:r w:rsidR="00993E49" w:rsidRPr="00993E49">
        <w:rPr>
          <w:sz w:val="24"/>
        </w:rPr>
        <w:t xml:space="preserve">and dimensions </w:t>
      </w:r>
      <w:r w:rsidR="0086057D">
        <w:rPr>
          <w:sz w:val="24"/>
          <w:lang w:val="en-US"/>
        </w:rPr>
        <w:t xml:space="preserve">of </w:t>
      </w:r>
      <w:r w:rsidR="0086057D" w:rsidRPr="00993E49">
        <w:rPr>
          <w:sz w:val="24"/>
        </w:rPr>
        <w:t xml:space="preserve">research focus </w:t>
      </w:r>
      <w:r w:rsidRPr="00321CF5">
        <w:rPr>
          <w:sz w:val="24"/>
        </w:rPr>
        <w:t>(Edwards III</w:t>
      </w:r>
      <w:r w:rsidR="00993E49" w:rsidRPr="00321CF5">
        <w:rPr>
          <w:sz w:val="24"/>
        </w:rPr>
        <w:t>Model</w:t>
      </w:r>
      <w:r w:rsidRPr="00321CF5">
        <w:rPr>
          <w:sz w:val="24"/>
        </w:rPr>
        <w:t>, 1984)</w:t>
      </w:r>
      <w:bookmarkEnd w:id="2"/>
    </w:p>
    <w:tbl>
      <w:tblPr>
        <w:tblW w:w="8505" w:type="dxa"/>
        <w:jc w:val="center"/>
        <w:tblBorders>
          <w:top w:val="single" w:sz="4" w:space="0" w:color="000000"/>
          <w:bottom w:val="single" w:sz="4" w:space="0" w:color="000000"/>
          <w:insideH w:val="single" w:sz="4" w:space="0" w:color="000000"/>
        </w:tblBorders>
        <w:tblLook w:val="04A0"/>
      </w:tblPr>
      <w:tblGrid>
        <w:gridCol w:w="485"/>
        <w:gridCol w:w="2492"/>
        <w:gridCol w:w="5528"/>
      </w:tblGrid>
      <w:tr w:rsidR="0068711D" w:rsidTr="00F000A6">
        <w:trPr>
          <w:trHeight w:val="523"/>
          <w:jc w:val="center"/>
        </w:trPr>
        <w:tc>
          <w:tcPr>
            <w:tcW w:w="485" w:type="dxa"/>
            <w:tcBorders>
              <w:top w:val="single" w:sz="4" w:space="0" w:color="000000"/>
              <w:left w:val="nil"/>
              <w:bottom w:val="single" w:sz="4" w:space="0" w:color="000000"/>
              <w:right w:val="nil"/>
            </w:tcBorders>
            <w:shd w:val="clear" w:color="auto" w:fill="D9D9D9" w:themeFill="background1" w:themeFillShade="D9"/>
            <w:vAlign w:val="center"/>
            <w:hideMark/>
          </w:tcPr>
          <w:p w:rsidR="0068711D" w:rsidRDefault="0068711D">
            <w:pPr>
              <w:ind w:left="-120" w:right="-36" w:firstLine="0"/>
              <w:jc w:val="center"/>
              <w:rPr>
                <w:rFonts w:eastAsia="Calibri"/>
                <w:b/>
                <w:kern w:val="0"/>
                <w:szCs w:val="24"/>
                <w:lang w:val="id-ID" w:eastAsia="en-US"/>
              </w:rPr>
            </w:pPr>
            <w:r>
              <w:rPr>
                <w:rFonts w:eastAsia="Calibri"/>
                <w:b/>
                <w:kern w:val="0"/>
                <w:sz w:val="22"/>
                <w:szCs w:val="24"/>
                <w:lang w:val="id-ID" w:eastAsia="en-US"/>
              </w:rPr>
              <w:t>No</w:t>
            </w:r>
          </w:p>
        </w:tc>
        <w:tc>
          <w:tcPr>
            <w:tcW w:w="2492" w:type="dxa"/>
            <w:tcBorders>
              <w:top w:val="single" w:sz="4" w:space="0" w:color="000000"/>
              <w:left w:val="nil"/>
              <w:bottom w:val="single" w:sz="4" w:space="0" w:color="000000"/>
              <w:right w:val="nil"/>
            </w:tcBorders>
            <w:shd w:val="clear" w:color="auto" w:fill="D9D9D9" w:themeFill="background1" w:themeFillShade="D9"/>
            <w:vAlign w:val="center"/>
            <w:hideMark/>
          </w:tcPr>
          <w:p w:rsidR="0068711D" w:rsidRPr="0086057D" w:rsidRDefault="0086057D">
            <w:pPr>
              <w:ind w:left="-120" w:right="-36" w:firstLine="0"/>
              <w:jc w:val="center"/>
              <w:rPr>
                <w:rFonts w:eastAsia="Calibri"/>
                <w:b/>
                <w:kern w:val="0"/>
                <w:szCs w:val="24"/>
                <w:lang w:eastAsia="en-US"/>
              </w:rPr>
            </w:pPr>
            <w:r>
              <w:rPr>
                <w:rFonts w:eastAsia="Calibri"/>
                <w:b/>
                <w:kern w:val="0"/>
                <w:sz w:val="22"/>
                <w:szCs w:val="24"/>
                <w:lang w:eastAsia="en-US"/>
              </w:rPr>
              <w:t>Variable</w:t>
            </w:r>
          </w:p>
        </w:tc>
        <w:tc>
          <w:tcPr>
            <w:tcW w:w="5528" w:type="dxa"/>
            <w:tcBorders>
              <w:top w:val="single" w:sz="4" w:space="0" w:color="000000"/>
              <w:left w:val="nil"/>
              <w:bottom w:val="single" w:sz="4" w:space="0" w:color="000000"/>
              <w:right w:val="nil"/>
            </w:tcBorders>
            <w:shd w:val="clear" w:color="auto" w:fill="D9D9D9" w:themeFill="background1" w:themeFillShade="D9"/>
            <w:vAlign w:val="center"/>
            <w:hideMark/>
          </w:tcPr>
          <w:p w:rsidR="0068711D" w:rsidRPr="0086057D" w:rsidRDefault="0086057D">
            <w:pPr>
              <w:ind w:left="-120" w:right="-36" w:firstLine="0"/>
              <w:jc w:val="center"/>
              <w:rPr>
                <w:rFonts w:eastAsia="Calibri"/>
                <w:b/>
                <w:kern w:val="0"/>
                <w:szCs w:val="24"/>
                <w:lang w:eastAsia="en-US"/>
              </w:rPr>
            </w:pPr>
            <w:r>
              <w:rPr>
                <w:rFonts w:eastAsia="Calibri"/>
                <w:b/>
                <w:kern w:val="0"/>
                <w:sz w:val="22"/>
                <w:szCs w:val="24"/>
                <w:lang w:eastAsia="en-US"/>
              </w:rPr>
              <w:t>Dimension</w:t>
            </w:r>
          </w:p>
        </w:tc>
      </w:tr>
      <w:tr w:rsidR="0068711D" w:rsidTr="00F000A6">
        <w:trPr>
          <w:trHeight w:val="369"/>
          <w:jc w:val="center"/>
        </w:trPr>
        <w:tc>
          <w:tcPr>
            <w:tcW w:w="485" w:type="dxa"/>
            <w:tcBorders>
              <w:top w:val="single" w:sz="4" w:space="0" w:color="000000"/>
              <w:left w:val="nil"/>
              <w:bottom w:val="nil"/>
              <w:right w:val="nil"/>
            </w:tcBorders>
            <w:hideMark/>
          </w:tcPr>
          <w:p w:rsidR="0068711D" w:rsidRDefault="0068711D">
            <w:pPr>
              <w:ind w:left="-120" w:right="-108" w:firstLine="0"/>
              <w:jc w:val="center"/>
              <w:rPr>
                <w:rFonts w:eastAsia="Calibri"/>
                <w:kern w:val="0"/>
                <w:szCs w:val="24"/>
                <w:lang w:val="id-ID" w:eastAsia="en-US"/>
              </w:rPr>
            </w:pPr>
            <w:r>
              <w:rPr>
                <w:rFonts w:eastAsia="Calibri"/>
                <w:kern w:val="0"/>
                <w:sz w:val="22"/>
                <w:szCs w:val="24"/>
                <w:lang w:val="id-ID" w:eastAsia="en-US"/>
              </w:rPr>
              <w:t>1</w:t>
            </w:r>
          </w:p>
        </w:tc>
        <w:tc>
          <w:tcPr>
            <w:tcW w:w="2492" w:type="dxa"/>
            <w:tcBorders>
              <w:top w:val="single" w:sz="4" w:space="0" w:color="000000"/>
              <w:left w:val="nil"/>
              <w:bottom w:val="nil"/>
              <w:right w:val="nil"/>
            </w:tcBorders>
            <w:hideMark/>
          </w:tcPr>
          <w:p w:rsidR="0068711D" w:rsidRPr="0040203E" w:rsidRDefault="0040203E">
            <w:pPr>
              <w:ind w:left="-32" w:firstLine="0"/>
              <w:jc w:val="left"/>
              <w:rPr>
                <w:rFonts w:eastAsia="Calibri"/>
                <w:kern w:val="0"/>
                <w:szCs w:val="24"/>
                <w:lang w:eastAsia="en-US"/>
              </w:rPr>
            </w:pPr>
            <w:r w:rsidRPr="00504993">
              <w:rPr>
                <w:lang w:val="id-ID"/>
              </w:rPr>
              <w:t>Resources</w:t>
            </w:r>
          </w:p>
        </w:tc>
        <w:tc>
          <w:tcPr>
            <w:tcW w:w="5528" w:type="dxa"/>
            <w:tcBorders>
              <w:top w:val="single" w:sz="4" w:space="0" w:color="000000"/>
              <w:left w:val="nil"/>
              <w:bottom w:val="nil"/>
              <w:right w:val="nil"/>
            </w:tcBorders>
            <w:hideMark/>
          </w:tcPr>
          <w:p w:rsidR="0068711D" w:rsidRDefault="0086057D">
            <w:pPr>
              <w:ind w:left="33" w:firstLine="0"/>
              <w:rPr>
                <w:rFonts w:eastAsia="Calibri"/>
                <w:kern w:val="0"/>
                <w:szCs w:val="24"/>
                <w:lang w:val="id-ID" w:eastAsia="en-US"/>
              </w:rPr>
            </w:pPr>
            <w:r w:rsidRPr="0086057D">
              <w:rPr>
                <w:rFonts w:eastAsia="Calibri"/>
                <w:kern w:val="0"/>
                <w:sz w:val="22"/>
                <w:szCs w:val="24"/>
                <w:lang w:val="id-ID" w:eastAsia="en-US"/>
              </w:rPr>
              <w:t>Human, Information, Authority and Budget (facilities)</w:t>
            </w:r>
          </w:p>
        </w:tc>
      </w:tr>
      <w:tr w:rsidR="0068711D" w:rsidTr="00F000A6">
        <w:trPr>
          <w:trHeight w:val="659"/>
          <w:jc w:val="center"/>
        </w:trPr>
        <w:tc>
          <w:tcPr>
            <w:tcW w:w="485" w:type="dxa"/>
            <w:tcBorders>
              <w:top w:val="nil"/>
              <w:left w:val="nil"/>
              <w:bottom w:val="nil"/>
              <w:right w:val="nil"/>
            </w:tcBorders>
            <w:hideMark/>
          </w:tcPr>
          <w:p w:rsidR="0068711D" w:rsidRDefault="0068711D">
            <w:pPr>
              <w:ind w:left="-120" w:right="-108" w:firstLine="0"/>
              <w:jc w:val="center"/>
              <w:rPr>
                <w:rFonts w:eastAsia="Calibri"/>
                <w:kern w:val="0"/>
                <w:szCs w:val="24"/>
                <w:lang w:val="id-ID" w:eastAsia="en-US"/>
              </w:rPr>
            </w:pPr>
            <w:r>
              <w:rPr>
                <w:rFonts w:eastAsia="Calibri"/>
                <w:kern w:val="0"/>
                <w:sz w:val="22"/>
                <w:szCs w:val="24"/>
                <w:lang w:val="id-ID" w:eastAsia="en-US"/>
              </w:rPr>
              <w:t>2</w:t>
            </w:r>
          </w:p>
        </w:tc>
        <w:tc>
          <w:tcPr>
            <w:tcW w:w="2492" w:type="dxa"/>
            <w:tcBorders>
              <w:top w:val="nil"/>
              <w:left w:val="nil"/>
              <w:bottom w:val="nil"/>
              <w:right w:val="nil"/>
            </w:tcBorders>
            <w:hideMark/>
          </w:tcPr>
          <w:p w:rsidR="0068711D" w:rsidRDefault="0040203E">
            <w:pPr>
              <w:ind w:left="-32" w:firstLine="0"/>
              <w:jc w:val="left"/>
              <w:rPr>
                <w:rFonts w:eastAsia="Calibri"/>
                <w:kern w:val="0"/>
                <w:szCs w:val="24"/>
                <w:lang w:val="id-ID" w:eastAsia="en-US"/>
              </w:rPr>
            </w:pPr>
            <w:r w:rsidRPr="00504993">
              <w:rPr>
                <w:lang w:val="id-ID"/>
              </w:rPr>
              <w:t>Communication</w:t>
            </w:r>
          </w:p>
        </w:tc>
        <w:tc>
          <w:tcPr>
            <w:tcW w:w="5528" w:type="dxa"/>
            <w:tcBorders>
              <w:top w:val="nil"/>
              <w:left w:val="nil"/>
              <w:bottom w:val="nil"/>
              <w:right w:val="nil"/>
            </w:tcBorders>
            <w:hideMark/>
          </w:tcPr>
          <w:p w:rsidR="0068711D" w:rsidRDefault="00034DDC">
            <w:pPr>
              <w:ind w:left="33" w:firstLine="0"/>
              <w:rPr>
                <w:rFonts w:eastAsia="Calibri"/>
                <w:kern w:val="0"/>
                <w:szCs w:val="24"/>
                <w:lang w:val="id-ID" w:eastAsia="en-US"/>
              </w:rPr>
            </w:pPr>
            <w:r w:rsidRPr="00034DDC">
              <w:rPr>
                <w:rFonts w:eastAsia="Calibri"/>
                <w:kern w:val="0"/>
                <w:sz w:val="22"/>
                <w:szCs w:val="24"/>
                <w:lang w:val="id-ID" w:eastAsia="en-US"/>
              </w:rPr>
              <w:t>Information transmission, clarity and ability to convey information (consistency)</w:t>
            </w:r>
          </w:p>
        </w:tc>
      </w:tr>
      <w:tr w:rsidR="0068711D" w:rsidTr="00F000A6">
        <w:trPr>
          <w:trHeight w:val="130"/>
          <w:jc w:val="center"/>
        </w:trPr>
        <w:tc>
          <w:tcPr>
            <w:tcW w:w="485" w:type="dxa"/>
            <w:tcBorders>
              <w:top w:val="nil"/>
              <w:left w:val="nil"/>
              <w:bottom w:val="nil"/>
              <w:right w:val="nil"/>
            </w:tcBorders>
            <w:hideMark/>
          </w:tcPr>
          <w:p w:rsidR="0068711D" w:rsidRDefault="0068711D">
            <w:pPr>
              <w:ind w:left="-120" w:right="-108" w:firstLine="0"/>
              <w:jc w:val="center"/>
              <w:rPr>
                <w:rFonts w:eastAsia="Calibri"/>
                <w:kern w:val="0"/>
                <w:szCs w:val="24"/>
                <w:lang w:val="id-ID" w:eastAsia="en-US"/>
              </w:rPr>
            </w:pPr>
            <w:r>
              <w:rPr>
                <w:rFonts w:eastAsia="Calibri"/>
                <w:kern w:val="0"/>
                <w:sz w:val="22"/>
                <w:szCs w:val="24"/>
                <w:lang w:val="id-ID" w:eastAsia="en-US"/>
              </w:rPr>
              <w:t>3</w:t>
            </w:r>
          </w:p>
        </w:tc>
        <w:tc>
          <w:tcPr>
            <w:tcW w:w="2492" w:type="dxa"/>
            <w:tcBorders>
              <w:top w:val="nil"/>
              <w:left w:val="nil"/>
              <w:bottom w:val="nil"/>
              <w:right w:val="nil"/>
            </w:tcBorders>
            <w:hideMark/>
          </w:tcPr>
          <w:p w:rsidR="0068711D" w:rsidRDefault="0040203E">
            <w:pPr>
              <w:ind w:left="-32" w:firstLine="34"/>
              <w:jc w:val="left"/>
              <w:rPr>
                <w:rFonts w:eastAsia="Calibri"/>
                <w:kern w:val="0"/>
                <w:szCs w:val="24"/>
                <w:lang w:val="id-ID" w:eastAsia="en-US"/>
              </w:rPr>
            </w:pPr>
            <w:r>
              <w:t>D</w:t>
            </w:r>
            <w:r w:rsidRPr="00504993">
              <w:rPr>
                <w:lang w:val="id-ID"/>
              </w:rPr>
              <w:t>isposition</w:t>
            </w:r>
          </w:p>
        </w:tc>
        <w:tc>
          <w:tcPr>
            <w:tcW w:w="5528" w:type="dxa"/>
            <w:tcBorders>
              <w:top w:val="nil"/>
              <w:left w:val="nil"/>
              <w:bottom w:val="nil"/>
              <w:right w:val="nil"/>
            </w:tcBorders>
            <w:hideMark/>
          </w:tcPr>
          <w:p w:rsidR="0068711D" w:rsidRDefault="00034DDC">
            <w:pPr>
              <w:ind w:left="33" w:firstLine="0"/>
              <w:rPr>
                <w:rFonts w:eastAsia="Calibri"/>
                <w:kern w:val="0"/>
                <w:szCs w:val="24"/>
                <w:lang w:val="en-ID" w:eastAsia="en-US"/>
              </w:rPr>
            </w:pPr>
            <w:r w:rsidRPr="00034DDC">
              <w:rPr>
                <w:rFonts w:eastAsia="Calibri"/>
                <w:kern w:val="0"/>
                <w:sz w:val="22"/>
                <w:szCs w:val="24"/>
                <w:lang w:val="id-ID" w:eastAsia="en-US"/>
              </w:rPr>
              <w:t>Attitudes and incentives of social forestry actors.</w:t>
            </w:r>
            <w:r w:rsidR="0068711D">
              <w:rPr>
                <w:rFonts w:eastAsia="Calibri"/>
                <w:kern w:val="0"/>
                <w:sz w:val="22"/>
                <w:szCs w:val="24"/>
                <w:lang w:val="en-ID" w:eastAsia="en-US"/>
              </w:rPr>
              <w:t>.</w:t>
            </w:r>
          </w:p>
        </w:tc>
      </w:tr>
      <w:tr w:rsidR="0068711D" w:rsidTr="00F000A6">
        <w:trPr>
          <w:trHeight w:val="277"/>
          <w:jc w:val="center"/>
        </w:trPr>
        <w:tc>
          <w:tcPr>
            <w:tcW w:w="485" w:type="dxa"/>
            <w:tcBorders>
              <w:top w:val="nil"/>
              <w:left w:val="nil"/>
              <w:bottom w:val="single" w:sz="4" w:space="0" w:color="000000"/>
              <w:right w:val="nil"/>
            </w:tcBorders>
            <w:hideMark/>
          </w:tcPr>
          <w:p w:rsidR="0068711D" w:rsidRDefault="0068711D">
            <w:pPr>
              <w:ind w:left="-120" w:right="-108" w:firstLine="0"/>
              <w:jc w:val="center"/>
              <w:rPr>
                <w:rFonts w:eastAsia="Calibri"/>
                <w:kern w:val="0"/>
                <w:szCs w:val="24"/>
                <w:lang w:val="id-ID" w:eastAsia="en-US"/>
              </w:rPr>
            </w:pPr>
            <w:r>
              <w:rPr>
                <w:rFonts w:eastAsia="Calibri"/>
                <w:kern w:val="0"/>
                <w:sz w:val="22"/>
                <w:szCs w:val="24"/>
                <w:lang w:val="id-ID" w:eastAsia="en-US"/>
              </w:rPr>
              <w:t>4</w:t>
            </w:r>
          </w:p>
        </w:tc>
        <w:tc>
          <w:tcPr>
            <w:tcW w:w="2492" w:type="dxa"/>
            <w:tcBorders>
              <w:top w:val="nil"/>
              <w:left w:val="nil"/>
              <w:bottom w:val="single" w:sz="4" w:space="0" w:color="000000"/>
              <w:right w:val="nil"/>
            </w:tcBorders>
            <w:hideMark/>
          </w:tcPr>
          <w:p w:rsidR="0068711D" w:rsidRDefault="0040203E">
            <w:pPr>
              <w:ind w:left="-32" w:firstLine="34"/>
              <w:jc w:val="left"/>
              <w:rPr>
                <w:rFonts w:eastAsia="Calibri"/>
                <w:kern w:val="0"/>
                <w:szCs w:val="24"/>
                <w:lang w:val="id-ID" w:eastAsia="en-US"/>
              </w:rPr>
            </w:pPr>
            <w:r w:rsidRPr="00504993">
              <w:rPr>
                <w:lang w:val="id-ID"/>
              </w:rPr>
              <w:t>Bureaucratic structure</w:t>
            </w:r>
          </w:p>
        </w:tc>
        <w:tc>
          <w:tcPr>
            <w:tcW w:w="5528" w:type="dxa"/>
            <w:tcBorders>
              <w:top w:val="nil"/>
              <w:left w:val="nil"/>
              <w:bottom w:val="single" w:sz="4" w:space="0" w:color="000000"/>
              <w:right w:val="nil"/>
            </w:tcBorders>
            <w:hideMark/>
          </w:tcPr>
          <w:p w:rsidR="0068711D" w:rsidRPr="00034DDC" w:rsidRDefault="0068711D">
            <w:pPr>
              <w:ind w:left="33" w:firstLine="0"/>
              <w:rPr>
                <w:rFonts w:eastAsia="Calibri"/>
                <w:kern w:val="0"/>
                <w:szCs w:val="24"/>
                <w:lang w:eastAsia="en-US"/>
              </w:rPr>
            </w:pPr>
            <w:r>
              <w:rPr>
                <w:rFonts w:eastAsia="Calibri"/>
                <w:i/>
                <w:kern w:val="0"/>
                <w:sz w:val="22"/>
                <w:szCs w:val="24"/>
                <w:lang w:val="id-ID" w:eastAsia="en-US"/>
              </w:rPr>
              <w:t>Standar Operating Procedures</w:t>
            </w:r>
            <w:r>
              <w:rPr>
                <w:rFonts w:eastAsia="Calibri"/>
                <w:kern w:val="0"/>
                <w:sz w:val="22"/>
                <w:szCs w:val="24"/>
                <w:lang w:val="id-ID" w:eastAsia="en-US"/>
              </w:rPr>
              <w:t xml:space="preserve"> (SOP) </w:t>
            </w:r>
            <w:r w:rsidR="00034DDC">
              <w:rPr>
                <w:rFonts w:eastAsia="Calibri"/>
                <w:kern w:val="0"/>
                <w:sz w:val="22"/>
                <w:szCs w:val="24"/>
                <w:lang w:eastAsia="en-US"/>
              </w:rPr>
              <w:t xml:space="preserve">and </w:t>
            </w:r>
            <w:proofErr w:type="spellStart"/>
            <w:r w:rsidR="00034DDC">
              <w:rPr>
                <w:rFonts w:eastAsia="Calibri"/>
                <w:kern w:val="0"/>
                <w:sz w:val="22"/>
                <w:szCs w:val="24"/>
                <w:lang w:eastAsia="en-US"/>
              </w:rPr>
              <w:t>fragmatation</w:t>
            </w:r>
            <w:proofErr w:type="spellEnd"/>
          </w:p>
        </w:tc>
      </w:tr>
    </w:tbl>
    <w:p w:rsidR="0068711D" w:rsidRDefault="0068711D" w:rsidP="0068711D">
      <w:pPr>
        <w:spacing w:line="276" w:lineRule="auto"/>
        <w:ind w:left="567" w:firstLine="426"/>
        <w:rPr>
          <w:szCs w:val="24"/>
          <w:lang w:val="id-ID"/>
        </w:rPr>
      </w:pPr>
    </w:p>
    <w:p w:rsidR="0045178E" w:rsidRPr="0045178E" w:rsidRDefault="0045178E" w:rsidP="0045178E">
      <w:pPr>
        <w:pStyle w:val="ListParagraph"/>
        <w:numPr>
          <w:ilvl w:val="0"/>
          <w:numId w:val="6"/>
        </w:numPr>
        <w:ind w:leftChars="0" w:left="284" w:hanging="284"/>
        <w:rPr>
          <w:b/>
        </w:rPr>
      </w:pPr>
      <w:r w:rsidRPr="00A91DA7">
        <w:rPr>
          <w:b/>
          <w:sz w:val="24"/>
          <w:lang w:val="en-US"/>
        </w:rPr>
        <w:t>Results and Discussion</w:t>
      </w:r>
    </w:p>
    <w:p w:rsidR="00A91DA7" w:rsidRDefault="00A91DA7" w:rsidP="007B18A2">
      <w:pPr>
        <w:ind w:firstLine="0"/>
        <w:outlineLvl w:val="0"/>
      </w:pPr>
      <w:bookmarkStart w:id="3" w:name="_Toc2873010"/>
      <w:r>
        <w:t xml:space="preserve">3.1 </w:t>
      </w:r>
      <w:bookmarkEnd w:id="3"/>
      <w:r w:rsidR="0004251F">
        <w:t>Existing</w:t>
      </w:r>
      <w:r w:rsidR="0004251F" w:rsidRPr="0004251F">
        <w:t xml:space="preserve"> Conditions of Social Forestry at the Research Site</w:t>
      </w:r>
    </w:p>
    <w:p w:rsidR="00A91DA7" w:rsidRDefault="0004251F" w:rsidP="00A91DA7">
      <w:pPr>
        <w:ind w:firstLine="482"/>
      </w:pPr>
      <w:r w:rsidRPr="0004251F">
        <w:t>Based on Law 41 of Forestry and PP No. 6</w:t>
      </w:r>
      <w:r>
        <w:t>/</w:t>
      </w:r>
      <w:r w:rsidRPr="0004251F">
        <w:t>2007 concerning Forest Arrangement and Preparation of Forest Management Plans, and Forest Utilization, activities that can be carried out in protected forest areas include utilization of the area (in the form of medicinal plants, ornamental plant cultivation, mushroom cultivation, bee cultivation, wildlife breeding, animal rehabilitation and forage farming), utilization of environmental services (in the form of utilization of water flow services, utilization of water, natural tourism, biodiversity protection, rescue and environmental protection and absorption and / or carbon storage) and collection of non-timber forest products (in the form of rattan, honey, sap, fruit, mushrooms and swallow's nest). But in its implementation, these activities in principle have provisions that do not reduce, change or eliminate its main function, limited land cultivation, do not cause negative impacts on biophysics and socio-economics, do not use mechanical equipment and heavy equipment, do not build facilities and infrastructure that change landscapes and must obtain forest utilization permits in protected forests</w:t>
      </w:r>
      <w:r w:rsidR="00B40461">
        <w:fldChar w:fldCharType="begin" w:fldLock="1"/>
      </w:r>
      <w:r w:rsidR="00F70037">
        <w:instrText>ADDIN CSL_CITATION {"citationItems":[{"id":"ITEM-1","itemData":{"author":[{"dropping-particle":"","family":"Republik Indonesia","given":"","non-dropping-particle":"","parse-names":false,"suffix":""}],"id":"ITEM-1","issued":{"date-parts":[["2007"]]},"page":"1-88","title":"Peraturan Pemerintah Republik Indonesia Nomor 6 Tahun 2007 Tentang Tata Hutan dan Penyusunan Rencana Pengelolaan Hutan, Serta Pemanfaatan Hutan","type":"legislation"},"uris":["http://www.mendeley.com/documents/?uuid=8949e872-1498-4cbc-a02b-d852a9dcbfc0"]}],"mendeley":{"formattedCitation":"[35]","plainTextFormattedCitation":"[35]","previouslyFormattedCitation":"(Republik Indonesia, 2007)"},"properties":{"noteIndex":0},"schema":"https://github.com/citation-style-language/schema/raw/master/csl-citation.json"}</w:instrText>
      </w:r>
      <w:r w:rsidR="00B40461">
        <w:fldChar w:fldCharType="separate"/>
      </w:r>
      <w:r w:rsidR="00F70037" w:rsidRPr="00F70037">
        <w:rPr>
          <w:noProof/>
        </w:rPr>
        <w:t>[35]</w:t>
      </w:r>
      <w:r w:rsidR="00B40461">
        <w:fldChar w:fldCharType="end"/>
      </w:r>
      <w:r w:rsidR="00A91DA7">
        <w:t>.</w:t>
      </w:r>
    </w:p>
    <w:p w:rsidR="00132BA3" w:rsidRDefault="00132BA3" w:rsidP="00132BA3">
      <w:pPr>
        <w:rPr>
          <w:iCs/>
        </w:rPr>
      </w:pPr>
      <w:r w:rsidRPr="00132BA3">
        <w:t xml:space="preserve">The governance of the use of protected forest areas is contrary to the reality of the MSM protection forest. Based on the results of satellite imagery (Table </w:t>
      </w:r>
      <w:r w:rsidR="006E49DE">
        <w:t>4</w:t>
      </w:r>
      <w:r w:rsidRPr="00132BA3">
        <w:t>), land cover at HL MSM leaves only 39% of secondary forest in the form of rubber plantations. The rest has changed function with activities outside forestry (arable land) without permission. In fact, 4% of the area has become a community settlement. This is clearly deviated from the rules set by the government.</w:t>
      </w:r>
    </w:p>
    <w:p w:rsidR="00A91DA7" w:rsidRDefault="00A91DA7" w:rsidP="00A91DA7">
      <w:pPr>
        <w:pStyle w:val="JudulGambar"/>
        <w:spacing w:line="240" w:lineRule="auto"/>
      </w:pPr>
      <w:r>
        <w:t>Tab</w:t>
      </w:r>
      <w:r w:rsidR="006E49DE">
        <w:rPr>
          <w:lang w:val="en-US"/>
        </w:rPr>
        <w:t>le4</w:t>
      </w:r>
      <w:r>
        <w:t xml:space="preserve">. </w:t>
      </w:r>
      <w:r w:rsidR="006E49DE">
        <w:rPr>
          <w:lang w:val="en-US"/>
        </w:rPr>
        <w:t xml:space="preserve">Forest </w:t>
      </w:r>
      <w:proofErr w:type="spellStart"/>
      <w:r w:rsidR="006E49DE">
        <w:rPr>
          <w:lang w:val="en-US"/>
        </w:rPr>
        <w:t>ocef</w:t>
      </w:r>
      <w:proofErr w:type="spellEnd"/>
      <w:r w:rsidR="006E49DE">
        <w:rPr>
          <w:lang w:val="en-US"/>
        </w:rPr>
        <w:t xml:space="preserve"> of</w:t>
      </w:r>
      <w:r>
        <w:t xml:space="preserve"> MSM</w:t>
      </w:r>
      <w:r w:rsidR="006E49DE">
        <w:rPr>
          <w:lang w:val="en-US"/>
        </w:rPr>
        <w:t xml:space="preserve"> Protected Forest year </w:t>
      </w:r>
      <w:r>
        <w:t>2000-2014</w:t>
      </w:r>
    </w:p>
    <w:tbl>
      <w:tblPr>
        <w:tblW w:w="8459" w:type="dxa"/>
        <w:jc w:val="center"/>
        <w:tblLook w:val="04A0"/>
      </w:tblPr>
      <w:tblGrid>
        <w:gridCol w:w="356"/>
        <w:gridCol w:w="1771"/>
        <w:gridCol w:w="567"/>
        <w:gridCol w:w="426"/>
        <w:gridCol w:w="708"/>
        <w:gridCol w:w="425"/>
        <w:gridCol w:w="658"/>
        <w:gridCol w:w="334"/>
        <w:gridCol w:w="764"/>
        <w:gridCol w:w="370"/>
        <w:gridCol w:w="709"/>
        <w:gridCol w:w="283"/>
        <w:gridCol w:w="764"/>
        <w:gridCol w:w="324"/>
      </w:tblGrid>
      <w:tr w:rsidR="00A91DA7" w:rsidTr="00A91DA7">
        <w:trPr>
          <w:trHeight w:val="315"/>
          <w:jc w:val="center"/>
        </w:trPr>
        <w:tc>
          <w:tcPr>
            <w:tcW w:w="356" w:type="dxa"/>
            <w:vMerge w:val="restart"/>
            <w:tcBorders>
              <w:top w:val="single" w:sz="4" w:space="0" w:color="auto"/>
              <w:left w:val="nil"/>
              <w:bottom w:val="single" w:sz="4" w:space="0" w:color="000000"/>
              <w:right w:val="nil"/>
            </w:tcBorders>
            <w:shd w:val="clear" w:color="auto" w:fill="D9D9D9" w:themeFill="background1" w:themeFillShade="D9"/>
            <w:noWrap/>
            <w:vAlign w:val="center"/>
            <w:hideMark/>
          </w:tcPr>
          <w:p w:rsidR="00A91DA7" w:rsidRDefault="00A91DA7" w:rsidP="00A91DA7">
            <w:pPr>
              <w:widowControl/>
              <w:snapToGrid/>
              <w:ind w:left="-105" w:firstLine="0"/>
              <w:jc w:val="center"/>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No</w:t>
            </w:r>
          </w:p>
        </w:tc>
        <w:tc>
          <w:tcPr>
            <w:tcW w:w="1771" w:type="dxa"/>
            <w:vMerge w:val="restart"/>
            <w:tcBorders>
              <w:top w:val="single" w:sz="4" w:space="0" w:color="auto"/>
              <w:left w:val="nil"/>
              <w:bottom w:val="single" w:sz="4" w:space="0" w:color="000000"/>
              <w:right w:val="nil"/>
            </w:tcBorders>
            <w:shd w:val="clear" w:color="auto" w:fill="D9D9D9" w:themeFill="background1" w:themeFillShade="D9"/>
            <w:noWrap/>
            <w:vAlign w:val="center"/>
            <w:hideMark/>
          </w:tcPr>
          <w:p w:rsidR="00A91DA7" w:rsidRPr="008E7E8B" w:rsidRDefault="008E7E8B" w:rsidP="00A91DA7">
            <w:pPr>
              <w:widowControl/>
              <w:snapToGrid/>
              <w:ind w:left="-39" w:right="-115" w:firstLine="0"/>
              <w:jc w:val="center"/>
              <w:rPr>
                <w:rFonts w:eastAsia="Times New Roman" w:cs="Times New Roman"/>
                <w:b/>
                <w:bCs/>
                <w:color w:val="000000"/>
                <w:kern w:val="0"/>
                <w:sz w:val="20"/>
                <w:szCs w:val="24"/>
                <w:lang w:eastAsia="zh-CN"/>
              </w:rPr>
            </w:pPr>
            <w:r>
              <w:rPr>
                <w:rFonts w:eastAsia="Times New Roman" w:cs="Times New Roman"/>
                <w:b/>
                <w:bCs/>
                <w:color w:val="000000"/>
                <w:kern w:val="0"/>
                <w:sz w:val="20"/>
                <w:szCs w:val="24"/>
                <w:lang w:eastAsia="zh-CN"/>
              </w:rPr>
              <w:t>Forest Cover</w:t>
            </w:r>
          </w:p>
        </w:tc>
        <w:tc>
          <w:tcPr>
            <w:tcW w:w="993" w:type="dxa"/>
            <w:gridSpan w:val="2"/>
            <w:tcBorders>
              <w:top w:val="single" w:sz="4" w:space="0" w:color="auto"/>
              <w:left w:val="nil"/>
              <w:bottom w:val="nil"/>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2000</w:t>
            </w:r>
          </w:p>
        </w:tc>
        <w:tc>
          <w:tcPr>
            <w:tcW w:w="1133" w:type="dxa"/>
            <w:gridSpan w:val="2"/>
            <w:tcBorders>
              <w:top w:val="single" w:sz="4" w:space="0" w:color="auto"/>
              <w:left w:val="nil"/>
              <w:bottom w:val="nil"/>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2003</w:t>
            </w:r>
          </w:p>
        </w:tc>
        <w:tc>
          <w:tcPr>
            <w:tcW w:w="992" w:type="dxa"/>
            <w:gridSpan w:val="2"/>
            <w:tcBorders>
              <w:top w:val="single" w:sz="4" w:space="0" w:color="auto"/>
              <w:left w:val="nil"/>
              <w:bottom w:val="nil"/>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2006</w:t>
            </w:r>
          </w:p>
        </w:tc>
        <w:tc>
          <w:tcPr>
            <w:tcW w:w="1134" w:type="dxa"/>
            <w:gridSpan w:val="2"/>
            <w:tcBorders>
              <w:top w:val="single" w:sz="4" w:space="0" w:color="auto"/>
              <w:left w:val="nil"/>
              <w:bottom w:val="nil"/>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2009</w:t>
            </w:r>
          </w:p>
        </w:tc>
        <w:tc>
          <w:tcPr>
            <w:tcW w:w="992" w:type="dxa"/>
            <w:gridSpan w:val="2"/>
            <w:tcBorders>
              <w:top w:val="single" w:sz="4" w:space="0" w:color="auto"/>
              <w:left w:val="nil"/>
              <w:bottom w:val="nil"/>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2011</w:t>
            </w:r>
          </w:p>
        </w:tc>
        <w:tc>
          <w:tcPr>
            <w:tcW w:w="1088" w:type="dxa"/>
            <w:gridSpan w:val="2"/>
            <w:tcBorders>
              <w:top w:val="single" w:sz="4" w:space="0" w:color="auto"/>
              <w:left w:val="nil"/>
              <w:bottom w:val="nil"/>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2014</w:t>
            </w:r>
          </w:p>
        </w:tc>
      </w:tr>
      <w:tr w:rsidR="00A91DA7" w:rsidTr="00A91DA7">
        <w:trPr>
          <w:trHeight w:val="315"/>
          <w:jc w:val="center"/>
        </w:trPr>
        <w:tc>
          <w:tcPr>
            <w:tcW w:w="0" w:type="auto"/>
            <w:vMerge/>
            <w:tcBorders>
              <w:top w:val="single" w:sz="4" w:space="0" w:color="auto"/>
              <w:left w:val="nil"/>
              <w:bottom w:val="single" w:sz="4" w:space="0" w:color="000000"/>
              <w:right w:val="nil"/>
            </w:tcBorders>
            <w:vAlign w:val="center"/>
            <w:hideMark/>
          </w:tcPr>
          <w:p w:rsidR="00A91DA7" w:rsidRDefault="00A91DA7" w:rsidP="00A91DA7">
            <w:pPr>
              <w:widowControl/>
              <w:snapToGrid/>
              <w:ind w:firstLine="0"/>
              <w:jc w:val="left"/>
              <w:rPr>
                <w:rFonts w:eastAsia="Times New Roman" w:cs="Times New Roman"/>
                <w:b/>
                <w:bCs/>
                <w:color w:val="000000"/>
                <w:kern w:val="0"/>
                <w:sz w:val="20"/>
                <w:szCs w:val="24"/>
                <w:lang w:val="id-ID" w:eastAsia="zh-CN"/>
              </w:rPr>
            </w:pPr>
          </w:p>
        </w:tc>
        <w:tc>
          <w:tcPr>
            <w:tcW w:w="0" w:type="auto"/>
            <w:vMerge/>
            <w:tcBorders>
              <w:top w:val="single" w:sz="4" w:space="0" w:color="auto"/>
              <w:left w:val="nil"/>
              <w:bottom w:val="single" w:sz="4" w:space="0" w:color="000000"/>
              <w:right w:val="nil"/>
            </w:tcBorders>
            <w:vAlign w:val="center"/>
            <w:hideMark/>
          </w:tcPr>
          <w:p w:rsidR="00A91DA7" w:rsidRDefault="00A91DA7" w:rsidP="00A91DA7">
            <w:pPr>
              <w:widowControl/>
              <w:snapToGrid/>
              <w:ind w:firstLine="0"/>
              <w:jc w:val="left"/>
              <w:rPr>
                <w:rFonts w:eastAsia="Times New Roman" w:cs="Times New Roman"/>
                <w:b/>
                <w:bCs/>
                <w:color w:val="000000"/>
                <w:kern w:val="0"/>
                <w:sz w:val="20"/>
                <w:szCs w:val="24"/>
                <w:lang w:val="id-ID" w:eastAsia="zh-CN"/>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Ha</w:t>
            </w:r>
          </w:p>
        </w:tc>
        <w:tc>
          <w:tcPr>
            <w:tcW w:w="426"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w:t>
            </w:r>
          </w:p>
        </w:tc>
        <w:tc>
          <w:tcPr>
            <w:tcW w:w="708"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Ha</w:t>
            </w:r>
          </w:p>
        </w:tc>
        <w:tc>
          <w:tcPr>
            <w:tcW w:w="425"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w:t>
            </w:r>
          </w:p>
        </w:tc>
        <w:tc>
          <w:tcPr>
            <w:tcW w:w="658"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Ha</w:t>
            </w:r>
          </w:p>
        </w:tc>
        <w:tc>
          <w:tcPr>
            <w:tcW w:w="334"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w:t>
            </w:r>
          </w:p>
        </w:tc>
        <w:tc>
          <w:tcPr>
            <w:tcW w:w="764"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Ha</w:t>
            </w:r>
          </w:p>
        </w:tc>
        <w:tc>
          <w:tcPr>
            <w:tcW w:w="370"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w:t>
            </w:r>
          </w:p>
        </w:tc>
        <w:tc>
          <w:tcPr>
            <w:tcW w:w="709"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Ha</w:t>
            </w:r>
          </w:p>
        </w:tc>
        <w:tc>
          <w:tcPr>
            <w:tcW w:w="283"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w:t>
            </w:r>
          </w:p>
        </w:tc>
        <w:tc>
          <w:tcPr>
            <w:tcW w:w="764"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Ha</w:t>
            </w:r>
          </w:p>
        </w:tc>
        <w:tc>
          <w:tcPr>
            <w:tcW w:w="324" w:type="dxa"/>
            <w:tcBorders>
              <w:top w:val="single" w:sz="4" w:space="0" w:color="auto"/>
              <w:left w:val="nil"/>
              <w:bottom w:val="single" w:sz="4" w:space="0" w:color="auto"/>
              <w:right w:val="nil"/>
            </w:tcBorders>
            <w:shd w:val="clear" w:color="auto" w:fill="D9D9D9" w:themeFill="background1" w:themeFillShade="D9"/>
            <w:noWrap/>
            <w:vAlign w:val="center"/>
            <w:hideMark/>
          </w:tcPr>
          <w:p w:rsidR="00A91DA7" w:rsidRDefault="00A91DA7" w:rsidP="00A91DA7">
            <w:pPr>
              <w:widowControl/>
              <w:snapToGrid/>
              <w:ind w:left="-385" w:right="-89" w:firstLine="0"/>
              <w:jc w:val="right"/>
              <w:rPr>
                <w:rFonts w:eastAsia="Times New Roman" w:cs="Times New Roman"/>
                <w:b/>
                <w:bCs/>
                <w:color w:val="000000"/>
                <w:kern w:val="0"/>
                <w:sz w:val="20"/>
                <w:szCs w:val="24"/>
                <w:lang w:val="id-ID" w:eastAsia="zh-CN"/>
              </w:rPr>
            </w:pPr>
            <w:r>
              <w:rPr>
                <w:rFonts w:eastAsia="Times New Roman" w:cs="Times New Roman"/>
                <w:b/>
                <w:bCs/>
                <w:color w:val="000000"/>
                <w:kern w:val="0"/>
                <w:sz w:val="20"/>
                <w:szCs w:val="24"/>
                <w:lang w:val="id-ID" w:eastAsia="zh-CN"/>
              </w:rPr>
              <w:t>%</w:t>
            </w:r>
          </w:p>
        </w:tc>
      </w:tr>
      <w:tr w:rsidR="00A91DA7" w:rsidTr="00990087">
        <w:trPr>
          <w:trHeight w:val="315"/>
          <w:jc w:val="center"/>
        </w:trPr>
        <w:tc>
          <w:tcPr>
            <w:tcW w:w="356" w:type="dxa"/>
            <w:noWrap/>
            <w:hideMark/>
          </w:tcPr>
          <w:p w:rsidR="00A91DA7" w:rsidRDefault="00A91DA7" w:rsidP="00990087">
            <w:pPr>
              <w:widowControl/>
              <w:snapToGrid/>
              <w:ind w:left="-105" w:firstLine="0"/>
              <w:jc w:val="center"/>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w:t>
            </w:r>
          </w:p>
        </w:tc>
        <w:tc>
          <w:tcPr>
            <w:tcW w:w="1771" w:type="dxa"/>
            <w:noWrap/>
            <w:vAlign w:val="center"/>
            <w:hideMark/>
          </w:tcPr>
          <w:p w:rsidR="00A91DA7" w:rsidRPr="008E7E8B" w:rsidRDefault="008E7E8B" w:rsidP="00A91DA7">
            <w:pPr>
              <w:widowControl/>
              <w:snapToGrid/>
              <w:ind w:left="-39" w:right="-115" w:firstLine="0"/>
              <w:jc w:val="lef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Secondary Forest</w:t>
            </w:r>
          </w:p>
        </w:tc>
        <w:tc>
          <w:tcPr>
            <w:tcW w:w="567"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4524.8</w:t>
            </w:r>
          </w:p>
        </w:tc>
        <w:tc>
          <w:tcPr>
            <w:tcW w:w="426"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40</w:t>
            </w:r>
          </w:p>
        </w:tc>
        <w:tc>
          <w:tcPr>
            <w:tcW w:w="70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4524.8</w:t>
            </w:r>
          </w:p>
        </w:tc>
        <w:tc>
          <w:tcPr>
            <w:tcW w:w="425"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40</w:t>
            </w:r>
          </w:p>
        </w:tc>
        <w:tc>
          <w:tcPr>
            <w:tcW w:w="65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4527.8</w:t>
            </w:r>
          </w:p>
        </w:tc>
        <w:tc>
          <w:tcPr>
            <w:tcW w:w="33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40</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4527.8</w:t>
            </w:r>
          </w:p>
        </w:tc>
        <w:tc>
          <w:tcPr>
            <w:tcW w:w="370"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40</w:t>
            </w:r>
          </w:p>
        </w:tc>
        <w:tc>
          <w:tcPr>
            <w:tcW w:w="709"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4527.8</w:t>
            </w:r>
          </w:p>
        </w:tc>
        <w:tc>
          <w:tcPr>
            <w:tcW w:w="283"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40</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4446.1</w:t>
            </w:r>
          </w:p>
        </w:tc>
        <w:tc>
          <w:tcPr>
            <w:tcW w:w="32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val="id-ID" w:eastAsia="zh-CN"/>
              </w:rPr>
              <w:t>3</w:t>
            </w:r>
            <w:r>
              <w:rPr>
                <w:rFonts w:eastAsia="Times New Roman" w:cs="Times New Roman"/>
                <w:color w:val="000000"/>
                <w:kern w:val="0"/>
                <w:sz w:val="20"/>
                <w:szCs w:val="24"/>
                <w:lang w:eastAsia="zh-CN"/>
              </w:rPr>
              <w:t>9</w:t>
            </w:r>
          </w:p>
        </w:tc>
      </w:tr>
      <w:tr w:rsidR="00A91DA7" w:rsidTr="00990087">
        <w:trPr>
          <w:trHeight w:val="315"/>
          <w:jc w:val="center"/>
        </w:trPr>
        <w:tc>
          <w:tcPr>
            <w:tcW w:w="356" w:type="dxa"/>
            <w:noWrap/>
            <w:hideMark/>
          </w:tcPr>
          <w:p w:rsidR="00A91DA7" w:rsidRDefault="00A91DA7" w:rsidP="00990087">
            <w:pPr>
              <w:widowControl/>
              <w:snapToGrid/>
              <w:ind w:left="-105" w:firstLine="0"/>
              <w:jc w:val="center"/>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2</w:t>
            </w:r>
          </w:p>
        </w:tc>
        <w:tc>
          <w:tcPr>
            <w:tcW w:w="1771" w:type="dxa"/>
            <w:noWrap/>
            <w:vAlign w:val="center"/>
            <w:hideMark/>
          </w:tcPr>
          <w:p w:rsidR="00A91DA7" w:rsidRPr="00990087" w:rsidRDefault="00990087" w:rsidP="00A91DA7">
            <w:pPr>
              <w:widowControl/>
              <w:snapToGrid/>
              <w:ind w:left="-39" w:right="-115" w:firstLine="0"/>
              <w:jc w:val="lef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Mixed farming</w:t>
            </w:r>
          </w:p>
        </w:tc>
        <w:tc>
          <w:tcPr>
            <w:tcW w:w="567"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3400.1</w:t>
            </w:r>
          </w:p>
        </w:tc>
        <w:tc>
          <w:tcPr>
            <w:tcW w:w="426"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30</w:t>
            </w:r>
          </w:p>
        </w:tc>
        <w:tc>
          <w:tcPr>
            <w:tcW w:w="70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3400.1</w:t>
            </w:r>
          </w:p>
        </w:tc>
        <w:tc>
          <w:tcPr>
            <w:tcW w:w="425"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30</w:t>
            </w:r>
          </w:p>
        </w:tc>
        <w:tc>
          <w:tcPr>
            <w:tcW w:w="65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3399.0</w:t>
            </w:r>
          </w:p>
        </w:tc>
        <w:tc>
          <w:tcPr>
            <w:tcW w:w="33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30</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3399.0</w:t>
            </w:r>
          </w:p>
        </w:tc>
        <w:tc>
          <w:tcPr>
            <w:tcW w:w="370"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30</w:t>
            </w:r>
          </w:p>
        </w:tc>
        <w:tc>
          <w:tcPr>
            <w:tcW w:w="709"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3399.0</w:t>
            </w:r>
          </w:p>
        </w:tc>
        <w:tc>
          <w:tcPr>
            <w:tcW w:w="283"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30</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3370.0</w:t>
            </w:r>
          </w:p>
        </w:tc>
        <w:tc>
          <w:tcPr>
            <w:tcW w:w="32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30</w:t>
            </w:r>
          </w:p>
        </w:tc>
      </w:tr>
      <w:tr w:rsidR="00A91DA7" w:rsidTr="00990087">
        <w:trPr>
          <w:trHeight w:val="315"/>
          <w:jc w:val="center"/>
        </w:trPr>
        <w:tc>
          <w:tcPr>
            <w:tcW w:w="356" w:type="dxa"/>
            <w:noWrap/>
            <w:hideMark/>
          </w:tcPr>
          <w:p w:rsidR="00A91DA7" w:rsidRDefault="00A91DA7" w:rsidP="00990087">
            <w:pPr>
              <w:widowControl/>
              <w:snapToGrid/>
              <w:ind w:left="-105" w:firstLine="0"/>
              <w:jc w:val="center"/>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lastRenderedPageBreak/>
              <w:t>3</w:t>
            </w:r>
          </w:p>
        </w:tc>
        <w:tc>
          <w:tcPr>
            <w:tcW w:w="1771" w:type="dxa"/>
            <w:noWrap/>
            <w:vAlign w:val="center"/>
            <w:hideMark/>
          </w:tcPr>
          <w:p w:rsidR="00A91DA7" w:rsidRPr="00840627" w:rsidRDefault="00840627" w:rsidP="00A91DA7">
            <w:pPr>
              <w:widowControl/>
              <w:snapToGrid/>
              <w:ind w:left="-39" w:right="-115" w:firstLine="0"/>
              <w:jc w:val="lef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Shrubs</w:t>
            </w:r>
          </w:p>
        </w:tc>
        <w:tc>
          <w:tcPr>
            <w:tcW w:w="567"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1993.4</w:t>
            </w:r>
          </w:p>
        </w:tc>
        <w:tc>
          <w:tcPr>
            <w:tcW w:w="426"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17</w:t>
            </w:r>
          </w:p>
        </w:tc>
        <w:tc>
          <w:tcPr>
            <w:tcW w:w="70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1993.4</w:t>
            </w:r>
          </w:p>
        </w:tc>
        <w:tc>
          <w:tcPr>
            <w:tcW w:w="425"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17</w:t>
            </w:r>
          </w:p>
        </w:tc>
        <w:tc>
          <w:tcPr>
            <w:tcW w:w="65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1991.3</w:t>
            </w:r>
          </w:p>
        </w:tc>
        <w:tc>
          <w:tcPr>
            <w:tcW w:w="33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17</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1991.3</w:t>
            </w:r>
          </w:p>
        </w:tc>
        <w:tc>
          <w:tcPr>
            <w:tcW w:w="370"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17</w:t>
            </w:r>
          </w:p>
        </w:tc>
        <w:tc>
          <w:tcPr>
            <w:tcW w:w="709"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1991.3</w:t>
            </w:r>
          </w:p>
        </w:tc>
        <w:tc>
          <w:tcPr>
            <w:tcW w:w="283"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17</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2092.9</w:t>
            </w:r>
          </w:p>
        </w:tc>
        <w:tc>
          <w:tcPr>
            <w:tcW w:w="32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18</w:t>
            </w:r>
          </w:p>
        </w:tc>
      </w:tr>
      <w:tr w:rsidR="00A91DA7" w:rsidTr="00990087">
        <w:trPr>
          <w:trHeight w:val="315"/>
          <w:jc w:val="center"/>
        </w:trPr>
        <w:tc>
          <w:tcPr>
            <w:tcW w:w="356" w:type="dxa"/>
            <w:noWrap/>
            <w:hideMark/>
          </w:tcPr>
          <w:p w:rsidR="00A91DA7" w:rsidRDefault="00A91DA7" w:rsidP="00990087">
            <w:pPr>
              <w:widowControl/>
              <w:snapToGrid/>
              <w:ind w:left="-105" w:firstLine="0"/>
              <w:jc w:val="center"/>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4</w:t>
            </w:r>
          </w:p>
        </w:tc>
        <w:tc>
          <w:tcPr>
            <w:tcW w:w="1771" w:type="dxa"/>
            <w:noWrap/>
            <w:vAlign w:val="center"/>
            <w:hideMark/>
          </w:tcPr>
          <w:p w:rsidR="00A91DA7" w:rsidRDefault="008E7E8B" w:rsidP="00A91DA7">
            <w:pPr>
              <w:widowControl/>
              <w:snapToGrid/>
              <w:ind w:left="-39" w:right="-115" w:firstLine="0"/>
              <w:jc w:val="left"/>
              <w:rPr>
                <w:rFonts w:eastAsia="Times New Roman" w:cs="Times New Roman"/>
                <w:color w:val="000000"/>
                <w:kern w:val="0"/>
                <w:sz w:val="20"/>
                <w:szCs w:val="24"/>
                <w:lang w:val="id-ID" w:eastAsia="zh-CN"/>
              </w:rPr>
            </w:pPr>
            <w:r>
              <w:rPr>
                <w:rFonts w:eastAsia="Times New Roman" w:cs="Times New Roman"/>
                <w:color w:val="000000"/>
                <w:kern w:val="0"/>
                <w:sz w:val="20"/>
                <w:szCs w:val="24"/>
                <w:lang w:eastAsia="zh-CN"/>
              </w:rPr>
              <w:t>Planting Forest</w:t>
            </w:r>
          </w:p>
        </w:tc>
        <w:tc>
          <w:tcPr>
            <w:tcW w:w="567"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1054.4</w:t>
            </w:r>
          </w:p>
        </w:tc>
        <w:tc>
          <w:tcPr>
            <w:tcW w:w="426"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9</w:t>
            </w:r>
          </w:p>
        </w:tc>
        <w:tc>
          <w:tcPr>
            <w:tcW w:w="70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1054.4</w:t>
            </w:r>
          </w:p>
        </w:tc>
        <w:tc>
          <w:tcPr>
            <w:tcW w:w="425"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9</w:t>
            </w:r>
          </w:p>
        </w:tc>
        <w:tc>
          <w:tcPr>
            <w:tcW w:w="65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1053.7</w:t>
            </w:r>
          </w:p>
        </w:tc>
        <w:tc>
          <w:tcPr>
            <w:tcW w:w="33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9</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1053.7</w:t>
            </w:r>
          </w:p>
        </w:tc>
        <w:tc>
          <w:tcPr>
            <w:tcW w:w="370"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9</w:t>
            </w:r>
          </w:p>
        </w:tc>
        <w:tc>
          <w:tcPr>
            <w:tcW w:w="709"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1053.7</w:t>
            </w:r>
          </w:p>
        </w:tc>
        <w:tc>
          <w:tcPr>
            <w:tcW w:w="283"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9</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1047.5</w:t>
            </w:r>
          </w:p>
        </w:tc>
        <w:tc>
          <w:tcPr>
            <w:tcW w:w="32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9</w:t>
            </w:r>
          </w:p>
        </w:tc>
      </w:tr>
      <w:tr w:rsidR="00A91DA7" w:rsidTr="00990087">
        <w:trPr>
          <w:trHeight w:val="315"/>
          <w:jc w:val="center"/>
        </w:trPr>
        <w:tc>
          <w:tcPr>
            <w:tcW w:w="356" w:type="dxa"/>
            <w:noWrap/>
            <w:hideMark/>
          </w:tcPr>
          <w:p w:rsidR="00A91DA7" w:rsidRDefault="00A91DA7" w:rsidP="00990087">
            <w:pPr>
              <w:widowControl/>
              <w:snapToGrid/>
              <w:ind w:left="-105" w:firstLine="0"/>
              <w:jc w:val="center"/>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5</w:t>
            </w:r>
          </w:p>
        </w:tc>
        <w:tc>
          <w:tcPr>
            <w:tcW w:w="1771" w:type="dxa"/>
            <w:noWrap/>
            <w:vAlign w:val="center"/>
            <w:hideMark/>
          </w:tcPr>
          <w:p w:rsidR="00A91DA7" w:rsidRPr="008E7E8B" w:rsidRDefault="008E7E8B" w:rsidP="00A91DA7">
            <w:pPr>
              <w:widowControl/>
              <w:snapToGrid/>
              <w:ind w:left="-39" w:right="-115" w:firstLine="0"/>
              <w:jc w:val="lef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Comm</w:t>
            </w:r>
            <w:r w:rsidR="003771B8">
              <w:rPr>
                <w:rFonts w:eastAsia="Times New Roman" w:cs="Times New Roman"/>
                <w:color w:val="000000"/>
                <w:kern w:val="0"/>
                <w:sz w:val="20"/>
                <w:szCs w:val="24"/>
                <w:lang w:eastAsia="zh-CN"/>
              </w:rPr>
              <w:t>.</w:t>
            </w:r>
            <w:r>
              <w:rPr>
                <w:rFonts w:eastAsia="Times New Roman" w:cs="Times New Roman"/>
                <w:color w:val="000000"/>
                <w:kern w:val="0"/>
                <w:sz w:val="20"/>
                <w:szCs w:val="24"/>
                <w:lang w:eastAsia="zh-CN"/>
              </w:rPr>
              <w:t xml:space="preserve"> Sett</w:t>
            </w:r>
            <w:r w:rsidR="00990087">
              <w:rPr>
                <w:rFonts w:eastAsia="Times New Roman" w:cs="Times New Roman"/>
                <w:color w:val="000000"/>
                <w:kern w:val="0"/>
                <w:sz w:val="20"/>
                <w:szCs w:val="24"/>
                <w:lang w:eastAsia="zh-CN"/>
              </w:rPr>
              <w:t>lement</w:t>
            </w:r>
          </w:p>
        </w:tc>
        <w:tc>
          <w:tcPr>
            <w:tcW w:w="567"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461.3</w:t>
            </w:r>
          </w:p>
        </w:tc>
        <w:tc>
          <w:tcPr>
            <w:tcW w:w="426"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w:t>
            </w:r>
          </w:p>
        </w:tc>
        <w:tc>
          <w:tcPr>
            <w:tcW w:w="70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461.3</w:t>
            </w:r>
          </w:p>
        </w:tc>
        <w:tc>
          <w:tcPr>
            <w:tcW w:w="425"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w:t>
            </w:r>
          </w:p>
        </w:tc>
        <w:tc>
          <w:tcPr>
            <w:tcW w:w="65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462.2</w:t>
            </w:r>
          </w:p>
        </w:tc>
        <w:tc>
          <w:tcPr>
            <w:tcW w:w="33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462.2</w:t>
            </w:r>
          </w:p>
        </w:tc>
        <w:tc>
          <w:tcPr>
            <w:tcW w:w="370"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w:t>
            </w:r>
          </w:p>
        </w:tc>
        <w:tc>
          <w:tcPr>
            <w:tcW w:w="709"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462.2</w:t>
            </w:r>
          </w:p>
        </w:tc>
        <w:tc>
          <w:tcPr>
            <w:tcW w:w="283"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466.6</w:t>
            </w:r>
          </w:p>
        </w:tc>
        <w:tc>
          <w:tcPr>
            <w:tcW w:w="32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4</w:t>
            </w:r>
          </w:p>
        </w:tc>
      </w:tr>
      <w:tr w:rsidR="00A91DA7" w:rsidTr="00990087">
        <w:trPr>
          <w:trHeight w:val="315"/>
          <w:jc w:val="center"/>
        </w:trPr>
        <w:tc>
          <w:tcPr>
            <w:tcW w:w="356" w:type="dxa"/>
            <w:noWrap/>
            <w:hideMark/>
          </w:tcPr>
          <w:p w:rsidR="00A91DA7" w:rsidRDefault="00A91DA7" w:rsidP="00990087">
            <w:pPr>
              <w:widowControl/>
              <w:snapToGrid/>
              <w:ind w:left="-105" w:firstLine="0"/>
              <w:jc w:val="center"/>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6</w:t>
            </w:r>
          </w:p>
        </w:tc>
        <w:tc>
          <w:tcPr>
            <w:tcW w:w="1771" w:type="dxa"/>
            <w:noWrap/>
            <w:vAlign w:val="center"/>
            <w:hideMark/>
          </w:tcPr>
          <w:p w:rsidR="00A91DA7" w:rsidRPr="00990087" w:rsidRDefault="00990087" w:rsidP="00A91DA7">
            <w:pPr>
              <w:widowControl/>
              <w:snapToGrid/>
              <w:ind w:left="-39" w:right="-115" w:firstLine="0"/>
              <w:jc w:val="left"/>
              <w:rPr>
                <w:rFonts w:eastAsia="Times New Roman" w:cs="Times New Roman"/>
                <w:color w:val="000000"/>
                <w:kern w:val="0"/>
                <w:sz w:val="20"/>
                <w:szCs w:val="24"/>
                <w:lang w:eastAsia="zh-CN"/>
              </w:rPr>
            </w:pPr>
            <w:r>
              <w:rPr>
                <w:rFonts w:eastAsia="Times New Roman" w:cs="Times New Roman"/>
                <w:color w:val="000000"/>
                <w:kern w:val="0"/>
                <w:sz w:val="20"/>
                <w:szCs w:val="24"/>
                <w:lang w:eastAsia="zh-CN"/>
              </w:rPr>
              <w:t>Opened area</w:t>
            </w:r>
          </w:p>
        </w:tc>
        <w:tc>
          <w:tcPr>
            <w:tcW w:w="567"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0.0</w:t>
            </w:r>
          </w:p>
        </w:tc>
        <w:tc>
          <w:tcPr>
            <w:tcW w:w="426"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w:t>
            </w:r>
          </w:p>
        </w:tc>
        <w:tc>
          <w:tcPr>
            <w:tcW w:w="70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0.0</w:t>
            </w:r>
          </w:p>
        </w:tc>
        <w:tc>
          <w:tcPr>
            <w:tcW w:w="425"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w:t>
            </w:r>
          </w:p>
        </w:tc>
        <w:tc>
          <w:tcPr>
            <w:tcW w:w="658"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0.0</w:t>
            </w:r>
          </w:p>
        </w:tc>
        <w:tc>
          <w:tcPr>
            <w:tcW w:w="33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0.0</w:t>
            </w:r>
          </w:p>
        </w:tc>
        <w:tc>
          <w:tcPr>
            <w:tcW w:w="370"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w:t>
            </w:r>
          </w:p>
        </w:tc>
        <w:tc>
          <w:tcPr>
            <w:tcW w:w="709"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0.0</w:t>
            </w:r>
          </w:p>
        </w:tc>
        <w:tc>
          <w:tcPr>
            <w:tcW w:w="283"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w:t>
            </w:r>
          </w:p>
        </w:tc>
        <w:tc>
          <w:tcPr>
            <w:tcW w:w="76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10.8</w:t>
            </w:r>
          </w:p>
        </w:tc>
        <w:tc>
          <w:tcPr>
            <w:tcW w:w="324" w:type="dxa"/>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0</w:t>
            </w:r>
          </w:p>
        </w:tc>
      </w:tr>
      <w:tr w:rsidR="00A91DA7" w:rsidTr="00A91DA7">
        <w:trPr>
          <w:trHeight w:val="315"/>
          <w:jc w:val="center"/>
        </w:trPr>
        <w:tc>
          <w:tcPr>
            <w:tcW w:w="356"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105" w:firstLine="0"/>
              <w:jc w:val="center"/>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 </w:t>
            </w:r>
          </w:p>
        </w:tc>
        <w:tc>
          <w:tcPr>
            <w:tcW w:w="1771"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9" w:right="-115" w:firstLine="0"/>
              <w:jc w:val="center"/>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Total</w:t>
            </w:r>
          </w:p>
        </w:tc>
        <w:tc>
          <w:tcPr>
            <w:tcW w:w="567"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11434.1</w:t>
            </w:r>
          </w:p>
        </w:tc>
        <w:tc>
          <w:tcPr>
            <w:tcW w:w="426"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100</w:t>
            </w:r>
          </w:p>
        </w:tc>
        <w:tc>
          <w:tcPr>
            <w:tcW w:w="708"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11434.1</w:t>
            </w:r>
          </w:p>
        </w:tc>
        <w:tc>
          <w:tcPr>
            <w:tcW w:w="425"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100</w:t>
            </w:r>
          </w:p>
        </w:tc>
        <w:tc>
          <w:tcPr>
            <w:tcW w:w="658"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11434.1</w:t>
            </w:r>
          </w:p>
        </w:tc>
        <w:tc>
          <w:tcPr>
            <w:tcW w:w="334"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100</w:t>
            </w:r>
          </w:p>
        </w:tc>
        <w:tc>
          <w:tcPr>
            <w:tcW w:w="764"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11434.1</w:t>
            </w:r>
          </w:p>
        </w:tc>
        <w:tc>
          <w:tcPr>
            <w:tcW w:w="370"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100</w:t>
            </w:r>
          </w:p>
        </w:tc>
        <w:tc>
          <w:tcPr>
            <w:tcW w:w="709"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11434.1</w:t>
            </w:r>
          </w:p>
        </w:tc>
        <w:tc>
          <w:tcPr>
            <w:tcW w:w="283"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100</w:t>
            </w:r>
          </w:p>
        </w:tc>
        <w:tc>
          <w:tcPr>
            <w:tcW w:w="764"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11434.1</w:t>
            </w:r>
          </w:p>
        </w:tc>
        <w:tc>
          <w:tcPr>
            <w:tcW w:w="324" w:type="dxa"/>
            <w:tcBorders>
              <w:top w:val="single" w:sz="4" w:space="0" w:color="auto"/>
              <w:left w:val="nil"/>
              <w:bottom w:val="single" w:sz="4" w:space="0" w:color="auto"/>
              <w:right w:val="nil"/>
            </w:tcBorders>
            <w:noWrap/>
            <w:vAlign w:val="center"/>
            <w:hideMark/>
          </w:tcPr>
          <w:p w:rsidR="00A91DA7" w:rsidRDefault="00A91DA7" w:rsidP="00A91DA7">
            <w:pPr>
              <w:widowControl/>
              <w:snapToGrid/>
              <w:ind w:left="-385" w:right="-89" w:firstLine="0"/>
              <w:jc w:val="right"/>
              <w:rPr>
                <w:rFonts w:eastAsia="Times New Roman" w:cs="Times New Roman"/>
                <w:color w:val="000000"/>
                <w:kern w:val="0"/>
                <w:sz w:val="20"/>
                <w:szCs w:val="24"/>
                <w:lang w:val="id-ID" w:eastAsia="zh-CN"/>
              </w:rPr>
            </w:pPr>
            <w:r>
              <w:rPr>
                <w:rFonts w:eastAsia="Times New Roman" w:cs="Times New Roman"/>
                <w:color w:val="000000"/>
                <w:kern w:val="0"/>
                <w:sz w:val="20"/>
                <w:szCs w:val="24"/>
                <w:lang w:val="id-ID" w:eastAsia="zh-CN"/>
              </w:rPr>
              <w:t>100</w:t>
            </w:r>
          </w:p>
        </w:tc>
      </w:tr>
    </w:tbl>
    <w:p w:rsidR="00B65580" w:rsidRDefault="00B65580" w:rsidP="00CF2D8E">
      <w:r w:rsidRPr="00B65580">
        <w:t xml:space="preserve">At present, MSM </w:t>
      </w:r>
      <w:r w:rsidR="004915B0">
        <w:t xml:space="preserve">protected </w:t>
      </w:r>
      <w:proofErr w:type="spellStart"/>
      <w:r w:rsidR="004915B0">
        <w:t>forest</w:t>
      </w:r>
      <w:r w:rsidRPr="00B65580">
        <w:t>vegetation</w:t>
      </w:r>
      <w:proofErr w:type="spellEnd"/>
      <w:r w:rsidRPr="00B65580">
        <w:t xml:space="preserve"> is dominated by several types including grasslands, open land, shrubs and forests with high and low density </w:t>
      </w:r>
      <w:r w:rsidR="00B40461">
        <w:fldChar w:fldCharType="begin" w:fldLock="1"/>
      </w:r>
      <w:r>
        <w:instrText>ADDIN CSL_CITATION {"citationItems":[{"id":"ITEM-1","itemData":{"DOI":"10.1016/j.proenv.2015.07.020","ISSN":"1878-0296","author":[{"dropping-particle":"","family":"Kusumandari","given":"Ambar","non-dropping-particle":"","parse-names":false,"suffix":""},{"dropping-particle":"","family":"Nugroho","given":"Prasetyo","non-dropping-particle":"","parse-names":false,"suffix":""}],"container-title":"Procedia Environmental Sciences","id":"ITEM-1","issue":"The 5th Sustainable Future for Human Security (SustaiN 2014)","issued":{"date-parts":[["2015"]]},"page":"142-147","publisher":"Elsevier B.V.","title":"Land capability analysis based on hydrology and soil characteristics for watershed rehabilitation","type":"paper-conference","volume":"28"},"uris":["http://www.mendeley.com/documents/?uuid=b58b6e79-e181-4198-8531-1c472eaad64e"]}],"mendeley":{"formattedCitation":"[34]","plainTextFormattedCitation":"[34]","previouslyFormattedCitation":"(Kusumandari and Nugroho, 2015)"},"properties":{"noteIndex":0},"schema":"https://github.com/citation-style-language/schema/raw/master/csl-citation.json"}</w:instrText>
      </w:r>
      <w:r w:rsidR="00B40461">
        <w:fldChar w:fldCharType="separate"/>
      </w:r>
      <w:r w:rsidRPr="00F70037">
        <w:rPr>
          <w:noProof/>
        </w:rPr>
        <w:t>[34]</w:t>
      </w:r>
      <w:r w:rsidR="00B40461">
        <w:fldChar w:fldCharType="end"/>
      </w:r>
      <w:r>
        <w:t xml:space="preserve">. </w:t>
      </w:r>
      <w:r w:rsidRPr="00B65580">
        <w:t>High and low</w:t>
      </w:r>
      <w:r>
        <w:t>-</w:t>
      </w:r>
      <w:r w:rsidRPr="00B65580">
        <w:t xml:space="preserve">density forests are dominated by old rubber plantations which are not well managed and harvested for generations </w:t>
      </w:r>
      <w:r w:rsidR="00B40461">
        <w:fldChar w:fldCharType="begin" w:fldLock="1"/>
      </w:r>
      <w:r>
        <w:instrText>ADDIN CSL_CITATION {"citationItems":[{"id":"ITEM-1","itemData":{"DOI":"10.1016/j.forpol.2018.05.011","ISSN":"1389-9341","author":[{"dropping-particle":"","family":"Harbi","given":"Jun","non-dropping-particle":"","parse-names":false,"suffix":""},{"dropping-particle":"","family":"Thomas","given":"James","non-dropping-particle":"","parse-names":false,"suffix":""},{"dropping-particle":"","family":"Sidiq","given":"Mohammad","non-dropping-particle":"","parse-names":false,"suffix":""},{"dropping-particle":"","family":"Haasler","given":"Berthold","non-dropping-particle":"","parse-names":false,"suffix":""}],"container-title":"Forest Policy and Economics","id":"ITEM-1","issue":"May","issued":{"date-parts":[["2018"]]},"page":"1-10","publisher":"Elsevier","title":"Forest Policy and Economics Making a bridge between livelihoods and forest conservation : Lessons from non timber forest products ' utilization in South Sumatera , INDONESIA","type":"article-journal","volume":"94"},"uris":["http://www.mendeley.com/documents/?uuid=0de8b186-867b-4a60-a21c-fc39b704250c"]}],"mendeley":{"formattedCitation":"[29]","plainTextFormattedCitation":"[29]","previouslyFormattedCitation":"(Harbi et al., 2018)"},"properties":{"noteIndex":0},"schema":"https://github.com/citation-style-language/schema/raw/master/csl-citation.json"}</w:instrText>
      </w:r>
      <w:r w:rsidR="00B40461">
        <w:fldChar w:fldCharType="separate"/>
      </w:r>
      <w:r w:rsidRPr="00F70037">
        <w:rPr>
          <w:noProof/>
        </w:rPr>
        <w:t>[29]</w:t>
      </w:r>
      <w:r w:rsidR="00B40461">
        <w:fldChar w:fldCharType="end"/>
      </w:r>
      <w:r w:rsidRPr="00B65580">
        <w:t xml:space="preserve">and experience fragmentation </w:t>
      </w:r>
      <w:r w:rsidR="00B40461">
        <w:fldChar w:fldCharType="begin" w:fldLock="1"/>
      </w:r>
      <w:r>
        <w:instrText>ADDIN CSL_CITATION {"citationItems":[{"id":"ITEM-1","itemData":{"author":[{"dropping-particle":"","family":"Zulfikhar","given":"","non-dropping-particle":"","parse-names":false,"suffix":""},{"dropping-particle":"","family":"Zulkifli","given":"Hilda","non-dropping-particle":"","parse-names":false,"suffix":""},{"dropping-particle":"","family":"Kadir","given":"Sabaruddin","non-dropping-particle":"","parse-names":false,"suffix":""},{"dropping-particle":"","family":"Iskandar","given":"Iskhaq","non-dropping-particle":"","parse-names":false,"suffix":""}],"container-title":"Sriwijaya Journal of Environment","id":"ITEM-1","issue":"1","issued":{"date-parts":[["2017"]]},"page":"8-18","title":"The Rapid Changes of the Landscape Structure of the Meranti-Dangku Tropical Lowland Forest in the South Sumatra Province , Indonesia","type":"article-journal","volume":"2"},"uris":["http://www.mendeley.com/documents/?uuid=0567db01-715d-4c04-b903-5f56bb7c07ea"]}],"mendeley":{"formattedCitation":"[27]","plainTextFormattedCitation":"[27]","previouslyFormattedCitation":"(Zulfikhar et al., 2017)"},"properties":{"noteIndex":0},"schema":"https://github.com/citation-style-language/schema/raw/master/csl-citation.json"}</w:instrText>
      </w:r>
      <w:r w:rsidR="00B40461">
        <w:fldChar w:fldCharType="separate"/>
      </w:r>
      <w:r w:rsidRPr="00F70037">
        <w:rPr>
          <w:noProof/>
        </w:rPr>
        <w:t>[27]</w:t>
      </w:r>
      <w:r w:rsidR="00B40461">
        <w:fldChar w:fldCharType="end"/>
      </w:r>
      <w:r w:rsidRPr="00B65580">
        <w:t xml:space="preserve">. Referring to </w:t>
      </w:r>
      <w:proofErr w:type="spellStart"/>
      <w:r w:rsidRPr="00B65580">
        <w:t>Perdirjen</w:t>
      </w:r>
      <w:proofErr w:type="spellEnd"/>
      <w:r w:rsidRPr="00B65580">
        <w:t xml:space="preserve"> P.4/2013 (regarding the criticality of land and priority rehabilitation categories), in the MSM</w:t>
      </w:r>
      <w:r w:rsidR="004915B0">
        <w:t xml:space="preserve"> protected forest</w:t>
      </w:r>
      <w:r w:rsidRPr="00B65580">
        <w:t xml:space="preserve"> area there are 2,442 Ha or 21.5% of the MSM </w:t>
      </w:r>
      <w:r w:rsidR="004915B0">
        <w:t xml:space="preserve">protected </w:t>
      </w:r>
      <w:proofErr w:type="spellStart"/>
      <w:r w:rsidR="004915B0">
        <w:t>forest</w:t>
      </w:r>
      <w:r w:rsidRPr="00B65580">
        <w:t>area</w:t>
      </w:r>
      <w:proofErr w:type="spellEnd"/>
      <w:r w:rsidRPr="00B65580">
        <w:t xml:space="preserve"> is in critical status to be very critical and a priority for rehabilitation. As much as 57.0% or 6,490 ha of protected forest area are in a rather critical status. Distribution of the distribution of critical status to very critical areas has a pattern that spreads around the area that can be accessed by road or river. It means that the area becomes the area that is passed or is the land where the community conducts its activities. Thus socio-economic factors also trigger the criticality of the MSM </w:t>
      </w:r>
      <w:r w:rsidR="004915B0">
        <w:t>protected forest</w:t>
      </w:r>
      <w:r w:rsidRPr="00B65580">
        <w:t xml:space="preserve"> land</w:t>
      </w:r>
      <w:r w:rsidR="00B40461">
        <w:fldChar w:fldCharType="begin" w:fldLock="1"/>
      </w:r>
      <w:r>
        <w:instrText>ADDIN CSL_CITATION {"citationItems":[{"id":"ITEM-1","itemData":{"author":[{"dropping-particle":"","family":"Yunardy","given":"Syafrul","non-dropping-particle":"","parse-names":false,"suffix":""},{"dropping-particle":"","family":"Kunarso","given":"Adi","non-dropping-particle":"","parse-names":false,"suffix":""},{"dropping-particle":"","family":"Harbi","given":"Jun","non-dropping-particle":"","parse-names":false,"suffix":""},{"dropping-particle":"","family":"Nugroho","given":"Dudy","non-dropping-particle":"","parse-names":false,"suffix":""},{"dropping-particle":"","family":"Kamil","given":"Wan","non-dropping-particle":"","parse-names":false,"suffix":""},{"dropping-particle":"","family":"Sutanto","given":"Himawan","non-dropping-particle":"","parse-names":false,"suffix":""},{"dropping-particle":"","family":"Travolindra","given":"Yoga","non-dropping-particle":"","parse-names":false,"suffix":""},{"dropping-particle":"","family":"Setiawan","given":"Hendra","non-dropping-particle":"","parse-names":false,"suffix":""},{"dropping-particle":"","family":"Berthold","given":"Haasler","non-dropping-particle":"","parse-names":false,"suffix":""}],"id":"ITEM-1","issued":{"date-parts":[["2017"]]},"publisher-place":"Palembang","title":"Pemetaan Lahan Terdegradasi dan Penentuan Prioritas Areal Rehabilitasi Skala Lansekap di KPHP Meranti, Provinsi Sumatera Selatan","type":"report"},"uris":["http://www.mendeley.com/documents/?uuid=17b2740b-2712-44b1-85b7-b3c1e50fd469"]}],"mendeley":{"formattedCitation":"[30]","plainTextFormattedCitation":"[30]","previouslyFormattedCitation":"(Yunardy et al., 2017)"},"properties":{"noteIndex":0},"schema":"https://github.com/citation-style-language/schema/raw/master/csl-citation.json"}</w:instrText>
      </w:r>
      <w:r w:rsidR="00B40461">
        <w:fldChar w:fldCharType="separate"/>
      </w:r>
      <w:r w:rsidRPr="00F70037">
        <w:rPr>
          <w:noProof/>
        </w:rPr>
        <w:t>[30]</w:t>
      </w:r>
      <w:r w:rsidR="00B40461">
        <w:fldChar w:fldCharType="end"/>
      </w:r>
      <w:r w:rsidRPr="00B65580">
        <w:t>.</w:t>
      </w:r>
    </w:p>
    <w:p w:rsidR="00622457" w:rsidRDefault="00977693" w:rsidP="00622457">
      <w:r w:rsidRPr="00977693">
        <w:t xml:space="preserve">The process of changing land cover that indicates a change in the function of this land has long begun. </w:t>
      </w:r>
      <w:proofErr w:type="gramStart"/>
      <w:r w:rsidRPr="00977693">
        <w:t xml:space="preserve">Based on the image of satellite imagery in figure </w:t>
      </w:r>
      <w:r w:rsidR="00B027FE">
        <w:t>2</w:t>
      </w:r>
      <w:r w:rsidRPr="00977693">
        <w:t xml:space="preserve"> shows that land management for various non-forestry activities has begun before 2000.</w:t>
      </w:r>
      <w:proofErr w:type="gramEnd"/>
      <w:r w:rsidRPr="00977693">
        <w:t xml:space="preserve"> Furthermore, forest functions have not been readjusted according to their functions and even deforestation occurred in 2014 with a reduction in secondary forests and increased shrubs. In addition, this also indicates that the process of management of this protected forest by the community has been carried out for at least more than 18 years, so that in accordance with the Republic of Indonesia Presidential Regulation Number 88 of 2017 concerning Land Settlement in Forest Areas, it is only natural that this area gets forest management permits through a social forestry program if the arable land has been controlled for less than 20 (twenty) years and issues land parcels from within the forest area through changes in forest area boundaries if it has been controlled for more than 20 (twenty years) </w:t>
      </w:r>
      <w:r w:rsidR="00B40461">
        <w:fldChar w:fldCharType="begin" w:fldLock="1"/>
      </w:r>
      <w:r w:rsidR="00F70037">
        <w:instrText>ADDIN CSL_CITATION {"citationItems":[{"id":"ITEM-1","itemData":{"author":[{"dropping-particle":"","family":"Republik Indonesia","given":"","non-dropping-particle":"","parse-names":false,"suffix":""}],"id":"ITEM-1","issue":"Lembaran Negara Republik Indonesia nomor 196, 2017","issued":{"date-parts":[["2017"]]},"title":"Peraturan Presiden Republik Indonesia Nomor 88 Tahun 2017 Tentang Penyelesaian Penguasaan Tanah dalam Kawasan Hutan","type":"legislation"},"uris":["http://www.mendeley.com/documents/?uuid=e40619e8-669e-412f-8d8c-75c24668aa27"]}],"mendeley":{"formattedCitation":"[36]","plainTextFormattedCitation":"[36]","previouslyFormattedCitation":"(Republik Indonesia, 2017)"},"properties":{"noteIndex":0},"schema":"https://github.com/citation-style-language/schema/raw/master/csl-citation.json"}</w:instrText>
      </w:r>
      <w:r w:rsidR="00B40461">
        <w:fldChar w:fldCharType="separate"/>
      </w:r>
      <w:r w:rsidR="00F70037" w:rsidRPr="00F70037">
        <w:rPr>
          <w:noProof/>
        </w:rPr>
        <w:t>[36]</w:t>
      </w:r>
      <w:r w:rsidR="00B40461">
        <w:fldChar w:fldCharType="end"/>
      </w:r>
      <w:r w:rsidR="00622457">
        <w:t>.</w:t>
      </w:r>
    </w:p>
    <w:p w:rsidR="00622457" w:rsidRDefault="00F000A6" w:rsidP="00622457">
      <w:r w:rsidRPr="00F000A6">
        <w:t xml:space="preserve">Following up on the existing conditions, as a solution to the midpoint, the government issued permits for access to management in the form of social forestry for protected forests because the participation of the community in the form of social capital (customs, norms, beliefs, leadership and social institutions) that exist in communities around the forest. Both seen from the perspective of the actor (actor perspective) and the public point of view relate to increasing forest sustainability </w:t>
      </w:r>
      <w:r w:rsidR="00B40461">
        <w:fldChar w:fldCharType="begin" w:fldLock="1"/>
      </w:r>
      <w:r w:rsidR="00F70037">
        <w:instrText>ADDIN CSL_CITATION {"citationItems":[{"id":"ITEM-1","itemData":{"author":[{"dropping-particle":"","family":"Ekawati","given":"Sulistya","non-dropping-particle":"","parse-names":false,"suffix":""},{"dropping-particle":"","family":"Nurrochmat","given":"Dodik Ridho","non-dropping-particle":"","parse-names":false,"suffix":""}],"container-title":"Jurnal Analisis Kebijakan Kehutanan","id":"ITEM-1","issue":"April","issued":{"date-parts":[["2014"]]},"page":"40-53","title":"HUBUNGAN MODAL SOSIAL DENGAN PEMANFAATAN DAN KELESTARIAN HUTAN LINDUNG","type":"article-journal","volume":"11 (1)"},"uris":["http://www.mendeley.com/documents/?uuid=2d05d69f-8a78-432a-a487-aa8b1a7a510c"]}],"mendeley":{"formattedCitation":"[37]","plainTextFormattedCitation":"[37]","previouslyFormattedCitation":"(Ekawati and Nurrochmat, 2014)"},"properties":{"noteIndex":0},"schema":"https://github.com/citation-style-language/schema/raw/master/csl-citation.json"}</w:instrText>
      </w:r>
      <w:r w:rsidR="00B40461">
        <w:fldChar w:fldCharType="separate"/>
      </w:r>
      <w:r w:rsidR="00F70037" w:rsidRPr="00F70037">
        <w:rPr>
          <w:noProof/>
        </w:rPr>
        <w:t>[37]</w:t>
      </w:r>
      <w:r w:rsidR="00B40461">
        <w:fldChar w:fldCharType="end"/>
      </w:r>
      <w:r w:rsidR="00622457">
        <w:t xml:space="preserve">. </w:t>
      </w:r>
    </w:p>
    <w:p w:rsidR="00622457" w:rsidRDefault="00622457" w:rsidP="00CF2D8E"/>
    <w:p w:rsidR="00C16B7F" w:rsidRDefault="00C16B7F" w:rsidP="00C16B7F">
      <w:pPr>
        <w:autoSpaceDE w:val="0"/>
        <w:autoSpaceDN w:val="0"/>
        <w:adjustRightInd w:val="0"/>
        <w:ind w:firstLine="720"/>
        <w:rPr>
          <w:rFonts w:cs="Times New Roman"/>
          <w:lang w:val="id-ID"/>
        </w:rPr>
      </w:pPr>
    </w:p>
    <w:p w:rsidR="000D56E3" w:rsidRPr="000D56E3" w:rsidRDefault="000D56E3" w:rsidP="007B18A2">
      <w:pPr>
        <w:ind w:firstLine="0"/>
        <w:outlineLvl w:val="0"/>
      </w:pPr>
      <w:r>
        <w:t xml:space="preserve">3.2 </w:t>
      </w:r>
      <w:r w:rsidRPr="000D56E3">
        <w:t xml:space="preserve">Dynamics of Social Forestry Governance in </w:t>
      </w:r>
      <w:proofErr w:type="spellStart"/>
      <w:r w:rsidRPr="000D56E3">
        <w:t>Musi</w:t>
      </w:r>
      <w:proofErr w:type="spellEnd"/>
      <w:r w:rsidRPr="000D56E3">
        <w:t xml:space="preserve"> </w:t>
      </w:r>
      <w:proofErr w:type="spellStart"/>
      <w:r w:rsidRPr="000D56E3">
        <w:t>Banyuasin</w:t>
      </w:r>
      <w:proofErr w:type="spellEnd"/>
      <w:r w:rsidRPr="000D56E3">
        <w:t xml:space="preserve"> District</w:t>
      </w:r>
    </w:p>
    <w:p w:rsidR="00E21088" w:rsidRDefault="00E21088" w:rsidP="000D56E3">
      <w:r>
        <w:t xml:space="preserve">The process of issuing social forestry permits at the research site has only been carried out since the existence of a social forestry policy in 2016 and proposals began in 2018. However, in general, the process of proposing social forestry in </w:t>
      </w:r>
      <w:proofErr w:type="spellStart"/>
      <w:r>
        <w:t>Musi</w:t>
      </w:r>
      <w:proofErr w:type="spellEnd"/>
      <w:r>
        <w:t xml:space="preserve"> </w:t>
      </w:r>
      <w:proofErr w:type="spellStart"/>
      <w:r>
        <w:t>Banyuasin</w:t>
      </w:r>
      <w:proofErr w:type="spellEnd"/>
      <w:r>
        <w:t xml:space="preserve"> District began in 2009 with the proposed village forest in </w:t>
      </w:r>
      <w:proofErr w:type="spellStart"/>
      <w:r>
        <w:t>Muara</w:t>
      </w:r>
      <w:proofErr w:type="spellEnd"/>
      <w:r>
        <w:t xml:space="preserve"> </w:t>
      </w:r>
      <w:proofErr w:type="spellStart"/>
      <w:r>
        <w:t>Merang</w:t>
      </w:r>
      <w:proofErr w:type="spellEnd"/>
      <w:r>
        <w:t xml:space="preserve"> and in 2010 at the </w:t>
      </w:r>
      <w:proofErr w:type="spellStart"/>
      <w:r>
        <w:t>Muara</w:t>
      </w:r>
      <w:proofErr w:type="spellEnd"/>
      <w:r>
        <w:t xml:space="preserve"> </w:t>
      </w:r>
      <w:proofErr w:type="spellStart"/>
      <w:r>
        <w:t>Medak</w:t>
      </w:r>
      <w:proofErr w:type="spellEnd"/>
      <w:r>
        <w:t xml:space="preserve"> and </w:t>
      </w:r>
      <w:proofErr w:type="spellStart"/>
      <w:r>
        <w:t>Kepayang</w:t>
      </w:r>
      <w:proofErr w:type="spellEnd"/>
      <w:r>
        <w:t xml:space="preserve"> (area of UPTD KPH Region 2 </w:t>
      </w:r>
      <w:proofErr w:type="spellStart"/>
      <w:r>
        <w:t>Lalan</w:t>
      </w:r>
      <w:proofErr w:type="spellEnd"/>
      <w:r>
        <w:t xml:space="preserve">). Village Forest Management Rights (HPHD) permits began to be issued in 2010 for </w:t>
      </w:r>
      <w:proofErr w:type="spellStart"/>
      <w:r>
        <w:t>Muara</w:t>
      </w:r>
      <w:proofErr w:type="spellEnd"/>
      <w:r>
        <w:t xml:space="preserve"> </w:t>
      </w:r>
      <w:proofErr w:type="spellStart"/>
      <w:r>
        <w:t>Merang</w:t>
      </w:r>
      <w:proofErr w:type="spellEnd"/>
      <w:r>
        <w:t xml:space="preserve"> Village (</w:t>
      </w:r>
      <w:proofErr w:type="spellStart"/>
      <w:r>
        <w:t>Muara</w:t>
      </w:r>
      <w:proofErr w:type="spellEnd"/>
      <w:r>
        <w:t xml:space="preserve"> </w:t>
      </w:r>
      <w:proofErr w:type="spellStart"/>
      <w:r>
        <w:t>Merang</w:t>
      </w:r>
      <w:proofErr w:type="spellEnd"/>
      <w:r>
        <w:t xml:space="preserve"> LPHD) and in 2015 for </w:t>
      </w:r>
      <w:proofErr w:type="spellStart"/>
      <w:r>
        <w:t>Kepayang</w:t>
      </w:r>
      <w:proofErr w:type="spellEnd"/>
      <w:r>
        <w:t xml:space="preserve"> Village (LPHD </w:t>
      </w:r>
      <w:proofErr w:type="spellStart"/>
      <w:r>
        <w:t>Kepayang</w:t>
      </w:r>
      <w:proofErr w:type="spellEnd"/>
      <w:r>
        <w:t xml:space="preserve">) </w:t>
      </w:r>
      <w:r>
        <w:lastRenderedPageBreak/>
        <w:t>even though to date village forest management has not been carried out optimally.</w:t>
      </w:r>
    </w:p>
    <w:p w:rsidR="00BB27C7" w:rsidRDefault="00E21088" w:rsidP="00E21088">
      <w:r>
        <w:t xml:space="preserve">This is in line with the conditions of social forestry in general in Indonesia. The realization of social forestry is considered slow and does not have a significant impact on various aspects of community livelihoods and forest sustainability. The occurrence of these conditions is due to regional unpreparedness in the implementation of social forestry after the issuance of Law 23/2014 concerning Regional Government </w:t>
      </w:r>
      <w:r w:rsidR="00B40461">
        <w:fldChar w:fldCharType="begin" w:fldLock="1"/>
      </w:r>
      <w:r>
        <w:instrText>ADDIN CSL_CITATION {"citationItems":[{"id":"ITEM-1","itemData":{"DOI":"10.20957/jkebijakan.v3i2.15512","author":[{"dropping-particle":"","family":"Wulandari","given":"Christine","non-dropping-particle":"","parse-names":false,"suffix":""},{"dropping-particle":"","family":"Budiono","given":"Pitojo","non-dropping-particle":"","parse-names":false,"suffix":""},{"dropping-particle":"","family":"Nurrochmat","given":"Dodik Ridho","non-dropping-particle":"","parse-names":false,"suffix":""}],"container-title":"Risalah Kebijakan Pertanian dan Lingkungan","id":"ITEM-1","issue":"Agustus","issued":{"date-parts":[["2016"]]},"page":"108-116","title":"KESIAPAN DAERAH DALAM IMPLEMENTASIKAN PROGRAM TENTANG PEMERINTAHAN DAERAH","type":"article-journal","volume":"3 (2)"},"uris":["http://www.mendeley.com/documents/?uuid=b443fa27-4770-48d7-919a-39d748211db8"]}],"mendeley":{"formattedCitation":"[38]","plainTextFormattedCitation":"[38]","previouslyFormattedCitation":"(Wulandari et al., 2016)"},"properties":{"noteIndex":0},"schema":"https://github.com/citation-style-language/schema/raw/master/csl-citation.json"}</w:instrText>
      </w:r>
      <w:r w:rsidR="00B40461">
        <w:fldChar w:fldCharType="separate"/>
      </w:r>
      <w:r w:rsidRPr="00F70037">
        <w:rPr>
          <w:noProof/>
        </w:rPr>
        <w:t>[38]</w:t>
      </w:r>
      <w:r w:rsidR="00B40461">
        <w:fldChar w:fldCharType="end"/>
      </w:r>
      <w:r>
        <w:t>. After 2015, the social forestry permit process was not followed up until 2018.</w:t>
      </w:r>
    </w:p>
    <w:p w:rsidR="00BB27C7" w:rsidRDefault="00C93BB9" w:rsidP="00BB27C7">
      <w:r w:rsidRPr="00C93BB9">
        <w:t xml:space="preserve">Implementation requires the </w:t>
      </w:r>
      <w:proofErr w:type="spellStart"/>
      <w:r w:rsidRPr="00C93BB9">
        <w:t>implementor</w:t>
      </w:r>
      <w:proofErr w:type="spellEnd"/>
      <w:r w:rsidRPr="00C93BB9">
        <w:t xml:space="preserve"> to know what must be done, communication is defined as the process of delivering information </w:t>
      </w:r>
      <w:r w:rsidR="00543A3F">
        <w:t>between</w:t>
      </w:r>
      <w:r w:rsidRPr="00C93BB9">
        <w:t xml:space="preserve"> the communicator</w:t>
      </w:r>
      <w:r w:rsidR="00543A3F">
        <w:t>s</w:t>
      </w:r>
      <w:r w:rsidR="00B40461">
        <w:fldChar w:fldCharType="begin" w:fldLock="1"/>
      </w:r>
      <w:r>
        <w:instrText>ADDIN CSL_CITATION {"citationItems":[{"id":"ITEM-1","itemData":{"author":[{"dropping-particle":"","family":"Wilujeng","given":"Etik","non-dropping-particle":"","parse-names":false,"suffix":""}],"container-title":"Kebijakan dan Manajemen Publik","id":"ITEM-1","issue":"April","issued":{"date-parts":[["2015"]]},"page":"1-10","title":"Implementasi Kebijakan Pengelolaan Hutan Bersama Masyarakat (PHBM) dalam Rangka Pelestarian Hutan Di KPH Blora","type":"article-journal","volume":"3"},"uris":["http://www.mendeley.com/documents/?uuid=ccfe4f23-f744-4979-ba73-d5cb794fabb1"]}],"mendeley":{"formattedCitation":"[39]","plainTextFormattedCitation":"[39]","previouslyFormattedCitation":"(Wilujeng, 2015)"},"properties":{"noteIndex":0},"schema":"https://github.com/citation-style-language/schema/raw/master/csl-citation.json"}</w:instrText>
      </w:r>
      <w:r w:rsidR="00B40461">
        <w:fldChar w:fldCharType="separate"/>
      </w:r>
      <w:r w:rsidRPr="00F70037">
        <w:rPr>
          <w:noProof/>
        </w:rPr>
        <w:t>[39]</w:t>
      </w:r>
      <w:r w:rsidR="00B40461">
        <w:fldChar w:fldCharType="end"/>
      </w:r>
      <w:r>
        <w:t>.</w:t>
      </w:r>
      <w:r w:rsidR="00BB27C7" w:rsidRPr="00BB27C7">
        <w:t>Edward III (1980) states that resource factors have an important role in policy implementation. Although the contents of the policy have been clearly and consistently communicated, if policy implementers are responsible for implementing a policy of lack of resources to do work effectively, then the implementation of the policy will not be effective. The intended resources are human resources, facilities, authority and support (rules of the game) available to help carry out social forestry implementation activities.</w:t>
      </w:r>
    </w:p>
    <w:p w:rsidR="00C16B7F" w:rsidRPr="00543A3F" w:rsidRDefault="00C16B7F" w:rsidP="006F7E5D">
      <w:pPr>
        <w:pStyle w:val="JudulGambar"/>
        <w:spacing w:line="240" w:lineRule="auto"/>
        <w:rPr>
          <w:sz w:val="24"/>
          <w:lang w:val="en-US"/>
        </w:rPr>
      </w:pPr>
      <w:bookmarkStart w:id="4" w:name="_Toc2873290"/>
      <w:r w:rsidRPr="00543A3F">
        <w:rPr>
          <w:sz w:val="24"/>
        </w:rPr>
        <w:t>Tab</w:t>
      </w:r>
      <w:r w:rsidR="00C93BB9" w:rsidRPr="00543A3F">
        <w:rPr>
          <w:sz w:val="24"/>
          <w:lang w:val="en-US"/>
        </w:rPr>
        <w:t>le5</w:t>
      </w:r>
      <w:r w:rsidRPr="00543A3F">
        <w:rPr>
          <w:sz w:val="24"/>
        </w:rPr>
        <w:t xml:space="preserve">. </w:t>
      </w:r>
      <w:r w:rsidR="002D6D35">
        <w:rPr>
          <w:sz w:val="24"/>
          <w:lang w:val="en-US"/>
        </w:rPr>
        <w:t xml:space="preserve">Data of Social Forestry in area of </w:t>
      </w:r>
      <w:r w:rsidRPr="00543A3F">
        <w:rPr>
          <w:sz w:val="24"/>
        </w:rPr>
        <w:t xml:space="preserve">UPTD KPH </w:t>
      </w:r>
      <w:proofErr w:type="spellStart"/>
      <w:r w:rsidR="002D6D35">
        <w:rPr>
          <w:sz w:val="24"/>
          <w:lang w:val="en-US"/>
        </w:rPr>
        <w:t>Reg</w:t>
      </w:r>
      <w:proofErr w:type="spellEnd"/>
      <w:r w:rsidRPr="00543A3F">
        <w:rPr>
          <w:sz w:val="24"/>
        </w:rPr>
        <w:t>. 1 Meranti</w:t>
      </w:r>
      <w:bookmarkEnd w:id="4"/>
    </w:p>
    <w:tbl>
      <w:tblPr>
        <w:tblW w:w="8621" w:type="dxa"/>
        <w:tblInd w:w="-5" w:type="dxa"/>
        <w:tblLook w:val="04A0"/>
      </w:tblPr>
      <w:tblGrid>
        <w:gridCol w:w="476"/>
        <w:gridCol w:w="2506"/>
        <w:gridCol w:w="1418"/>
        <w:gridCol w:w="1161"/>
        <w:gridCol w:w="1015"/>
        <w:gridCol w:w="1295"/>
        <w:gridCol w:w="750"/>
      </w:tblGrid>
      <w:tr w:rsidR="00C16B7F" w:rsidTr="00DF1F7B">
        <w:trPr>
          <w:trHeight w:val="449"/>
        </w:trPr>
        <w:tc>
          <w:tcPr>
            <w:tcW w:w="476"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Default="00C16B7F" w:rsidP="002D6D35">
            <w:pPr>
              <w:widowControl/>
              <w:ind w:firstLine="0"/>
              <w:jc w:val="center"/>
              <w:rPr>
                <w:rFonts w:eastAsia="Times New Roman" w:cs="Times New Roman"/>
                <w:b/>
                <w:color w:val="000000"/>
                <w:kern w:val="0"/>
                <w:sz w:val="20"/>
                <w:szCs w:val="20"/>
                <w:lang w:val="id-ID" w:eastAsia="zh-CN"/>
              </w:rPr>
            </w:pPr>
            <w:r>
              <w:rPr>
                <w:rFonts w:eastAsia="Times New Roman" w:cs="Times New Roman"/>
                <w:b/>
                <w:color w:val="000000"/>
                <w:kern w:val="0"/>
                <w:sz w:val="20"/>
                <w:szCs w:val="20"/>
                <w:lang w:val="id-ID" w:eastAsia="zh-CN"/>
              </w:rPr>
              <w:t>No</w:t>
            </w:r>
          </w:p>
        </w:tc>
        <w:tc>
          <w:tcPr>
            <w:tcW w:w="2506"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Pr="002D6D35" w:rsidRDefault="00C16B7F" w:rsidP="002D6D35">
            <w:pPr>
              <w:widowControl/>
              <w:ind w:firstLine="0"/>
              <w:jc w:val="center"/>
              <w:rPr>
                <w:rFonts w:eastAsia="Times New Roman" w:cs="Times New Roman"/>
                <w:b/>
                <w:color w:val="000000"/>
                <w:kern w:val="0"/>
                <w:sz w:val="20"/>
                <w:szCs w:val="20"/>
                <w:lang w:eastAsia="zh-CN"/>
              </w:rPr>
            </w:pPr>
            <w:r>
              <w:rPr>
                <w:rFonts w:eastAsia="Times New Roman" w:cs="Times New Roman"/>
                <w:b/>
                <w:color w:val="000000"/>
                <w:kern w:val="0"/>
                <w:sz w:val="20"/>
                <w:szCs w:val="20"/>
                <w:lang w:val="id-ID" w:eastAsia="zh-CN"/>
              </w:rPr>
              <w:t>Na</w:t>
            </w:r>
            <w:r w:rsidR="002D6D35">
              <w:rPr>
                <w:rFonts w:eastAsia="Times New Roman" w:cs="Times New Roman"/>
                <w:b/>
                <w:color w:val="000000"/>
                <w:kern w:val="0"/>
                <w:sz w:val="20"/>
                <w:szCs w:val="20"/>
                <w:lang w:eastAsia="zh-CN"/>
              </w:rPr>
              <w:t>me</w:t>
            </w:r>
          </w:p>
        </w:tc>
        <w:tc>
          <w:tcPr>
            <w:tcW w:w="1418"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Pr="002D6D35" w:rsidRDefault="002D6D35" w:rsidP="002D6D35">
            <w:pPr>
              <w:widowControl/>
              <w:ind w:firstLine="0"/>
              <w:jc w:val="center"/>
              <w:rPr>
                <w:rFonts w:eastAsia="Times New Roman" w:cs="Times New Roman"/>
                <w:b/>
                <w:color w:val="000000"/>
                <w:kern w:val="0"/>
                <w:sz w:val="20"/>
                <w:szCs w:val="20"/>
                <w:lang w:eastAsia="zh-CN"/>
              </w:rPr>
            </w:pPr>
            <w:r>
              <w:rPr>
                <w:rFonts w:eastAsia="Times New Roman" w:cs="Times New Roman"/>
                <w:b/>
                <w:color w:val="000000"/>
                <w:kern w:val="0"/>
                <w:sz w:val="20"/>
                <w:szCs w:val="20"/>
                <w:lang w:eastAsia="zh-CN"/>
              </w:rPr>
              <w:t>Village</w:t>
            </w:r>
          </w:p>
        </w:tc>
        <w:tc>
          <w:tcPr>
            <w:tcW w:w="1161"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Default="002D6D35" w:rsidP="002D6D35">
            <w:pPr>
              <w:widowControl/>
              <w:tabs>
                <w:tab w:val="left" w:pos="585"/>
              </w:tabs>
              <w:ind w:left="-124" w:right="-72" w:firstLine="0"/>
              <w:jc w:val="center"/>
              <w:rPr>
                <w:rFonts w:eastAsia="Times New Roman" w:cs="Times New Roman"/>
                <w:b/>
                <w:color w:val="000000"/>
                <w:kern w:val="0"/>
                <w:sz w:val="20"/>
                <w:szCs w:val="20"/>
                <w:lang w:val="id-ID" w:eastAsia="zh-CN"/>
              </w:rPr>
            </w:pPr>
            <w:r>
              <w:rPr>
                <w:rFonts w:eastAsia="Times New Roman" w:cs="Times New Roman"/>
                <w:b/>
                <w:color w:val="000000"/>
                <w:kern w:val="0"/>
                <w:sz w:val="20"/>
                <w:szCs w:val="20"/>
                <w:lang w:eastAsia="zh-CN"/>
              </w:rPr>
              <w:t>Size</w:t>
            </w:r>
            <w:r w:rsidR="00C16B7F">
              <w:rPr>
                <w:rFonts w:eastAsia="Times New Roman" w:cs="Times New Roman"/>
                <w:b/>
                <w:color w:val="000000"/>
                <w:kern w:val="0"/>
                <w:sz w:val="20"/>
                <w:szCs w:val="20"/>
                <w:lang w:val="id-ID" w:eastAsia="zh-CN"/>
              </w:rPr>
              <w:t xml:space="preserve"> (Ha)</w:t>
            </w:r>
          </w:p>
        </w:tc>
        <w:tc>
          <w:tcPr>
            <w:tcW w:w="1015"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Default="002D6D35" w:rsidP="002D6D35">
            <w:pPr>
              <w:widowControl/>
              <w:tabs>
                <w:tab w:val="left" w:pos="1080"/>
              </w:tabs>
              <w:ind w:firstLine="0"/>
              <w:jc w:val="center"/>
              <w:rPr>
                <w:rFonts w:eastAsia="Times New Roman" w:cs="Times New Roman"/>
                <w:b/>
                <w:color w:val="000000"/>
                <w:kern w:val="0"/>
                <w:sz w:val="20"/>
                <w:szCs w:val="20"/>
                <w:lang w:val="id-ID" w:eastAsia="zh-CN"/>
              </w:rPr>
            </w:pPr>
            <w:r>
              <w:rPr>
                <w:rFonts w:eastAsia="Times New Roman" w:cs="Times New Roman"/>
                <w:b/>
                <w:color w:val="000000"/>
                <w:kern w:val="0"/>
                <w:sz w:val="20"/>
                <w:szCs w:val="20"/>
                <w:lang w:eastAsia="zh-CN"/>
              </w:rPr>
              <w:t>Scheme</w:t>
            </w:r>
          </w:p>
        </w:tc>
        <w:tc>
          <w:tcPr>
            <w:tcW w:w="1295"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Pr="002D6D35" w:rsidRDefault="002D6D35" w:rsidP="002D6D35">
            <w:pPr>
              <w:widowControl/>
              <w:tabs>
                <w:tab w:val="left" w:pos="1080"/>
              </w:tabs>
              <w:ind w:firstLine="0"/>
              <w:jc w:val="center"/>
              <w:rPr>
                <w:rFonts w:eastAsia="Times New Roman" w:cs="Times New Roman"/>
                <w:b/>
                <w:color w:val="000000"/>
                <w:kern w:val="0"/>
                <w:sz w:val="20"/>
                <w:szCs w:val="20"/>
                <w:lang w:eastAsia="zh-CN"/>
              </w:rPr>
            </w:pPr>
            <w:r>
              <w:rPr>
                <w:rFonts w:eastAsia="Times New Roman" w:cs="Times New Roman"/>
                <w:b/>
                <w:color w:val="000000"/>
                <w:kern w:val="0"/>
                <w:sz w:val="20"/>
                <w:szCs w:val="20"/>
                <w:lang w:eastAsia="zh-CN"/>
              </w:rPr>
              <w:t>Facilitator</w:t>
            </w:r>
          </w:p>
        </w:tc>
        <w:tc>
          <w:tcPr>
            <w:tcW w:w="750" w:type="dxa"/>
            <w:tcBorders>
              <w:top w:val="single" w:sz="4" w:space="0" w:color="auto"/>
              <w:left w:val="nil"/>
              <w:bottom w:val="single" w:sz="4" w:space="0" w:color="auto"/>
              <w:right w:val="nil"/>
            </w:tcBorders>
            <w:shd w:val="clear" w:color="auto" w:fill="D9D9D9" w:themeFill="background1" w:themeFillShade="D9"/>
            <w:noWrap/>
            <w:vAlign w:val="center"/>
            <w:hideMark/>
          </w:tcPr>
          <w:p w:rsidR="00C16B7F" w:rsidRDefault="00C16B7F" w:rsidP="002D6D35">
            <w:pPr>
              <w:widowControl/>
              <w:ind w:firstLine="0"/>
              <w:jc w:val="center"/>
              <w:rPr>
                <w:rFonts w:eastAsia="Times New Roman" w:cs="Times New Roman"/>
                <w:b/>
                <w:color w:val="000000"/>
                <w:kern w:val="0"/>
                <w:sz w:val="20"/>
                <w:szCs w:val="20"/>
                <w:lang w:val="id-ID" w:eastAsia="zh-CN"/>
              </w:rPr>
            </w:pPr>
            <w:r>
              <w:rPr>
                <w:rFonts w:eastAsia="Times New Roman" w:cs="Times New Roman"/>
                <w:b/>
                <w:color w:val="000000"/>
                <w:kern w:val="0"/>
                <w:sz w:val="20"/>
                <w:szCs w:val="20"/>
                <w:lang w:val="id-ID" w:eastAsia="zh-CN"/>
              </w:rPr>
              <w:t>Status</w:t>
            </w:r>
          </w:p>
        </w:tc>
      </w:tr>
      <w:tr w:rsidR="00C16B7F" w:rsidTr="00DF1F7B">
        <w:trPr>
          <w:trHeight w:val="272"/>
        </w:trPr>
        <w:tc>
          <w:tcPr>
            <w:tcW w:w="476" w:type="dxa"/>
            <w:tcBorders>
              <w:top w:val="single" w:sz="4" w:space="0" w:color="auto"/>
              <w:left w:val="nil"/>
              <w:bottom w:val="nil"/>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c>
          <w:tcPr>
            <w:tcW w:w="2506" w:type="dxa"/>
            <w:tcBorders>
              <w:top w:val="single" w:sz="4" w:space="0" w:color="auto"/>
              <w:left w:val="nil"/>
              <w:bottom w:val="nil"/>
              <w:right w:val="nil"/>
            </w:tcBorders>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Lestari Bulian Sejahtera</w:t>
            </w:r>
          </w:p>
        </w:tc>
        <w:tc>
          <w:tcPr>
            <w:tcW w:w="1418" w:type="dxa"/>
            <w:tcBorders>
              <w:top w:val="single" w:sz="4" w:space="0" w:color="auto"/>
              <w:left w:val="nil"/>
              <w:bottom w:val="nil"/>
              <w:right w:val="nil"/>
            </w:tcBorders>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Pangkalan Bulian</w:t>
            </w:r>
          </w:p>
        </w:tc>
        <w:tc>
          <w:tcPr>
            <w:tcW w:w="1161" w:type="dxa"/>
            <w:tcBorders>
              <w:top w:val="single" w:sz="4" w:space="0" w:color="auto"/>
              <w:left w:val="nil"/>
              <w:bottom w:val="nil"/>
              <w:right w:val="nil"/>
            </w:tcBorders>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1.596</w:t>
            </w:r>
            <w:r>
              <w:rPr>
                <w:rFonts w:eastAsia="Times New Roman" w:cs="Times New Roman"/>
                <w:color w:val="000000"/>
                <w:kern w:val="0"/>
                <w:sz w:val="20"/>
                <w:szCs w:val="20"/>
                <w:lang w:eastAsia="zh-CN"/>
              </w:rPr>
              <w:t>,</w:t>
            </w:r>
            <w:r>
              <w:rPr>
                <w:rFonts w:eastAsia="Times New Roman" w:cs="Times New Roman"/>
                <w:color w:val="000000"/>
                <w:kern w:val="0"/>
                <w:sz w:val="20"/>
                <w:szCs w:val="20"/>
                <w:lang w:val="id-ID" w:eastAsia="zh-CN"/>
              </w:rPr>
              <w:t>90</w:t>
            </w:r>
          </w:p>
        </w:tc>
        <w:tc>
          <w:tcPr>
            <w:tcW w:w="1015" w:type="dxa"/>
            <w:tcBorders>
              <w:top w:val="single" w:sz="4" w:space="0" w:color="auto"/>
              <w:left w:val="nil"/>
              <w:bottom w:val="nil"/>
              <w:right w:val="nil"/>
            </w:tcBorders>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KK- KPH </w:t>
            </w:r>
          </w:p>
        </w:tc>
        <w:tc>
          <w:tcPr>
            <w:tcW w:w="1295" w:type="dxa"/>
            <w:tcBorders>
              <w:top w:val="single" w:sz="4" w:space="0" w:color="auto"/>
              <w:left w:val="nil"/>
              <w:bottom w:val="nil"/>
              <w:right w:val="nil"/>
            </w:tcBorders>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Lingkar Hijau</w:t>
            </w:r>
          </w:p>
        </w:tc>
        <w:tc>
          <w:tcPr>
            <w:tcW w:w="750" w:type="dxa"/>
            <w:tcBorders>
              <w:top w:val="single" w:sz="4" w:space="0" w:color="auto"/>
              <w:left w:val="nil"/>
              <w:bottom w:val="nil"/>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r>
      <w:tr w:rsidR="00C16B7F" w:rsidTr="00DF1F7B">
        <w:trPr>
          <w:trHeight w:val="118"/>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KUD Tunggal Karya Sehati</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Lubuk Bintialo</w:t>
            </w:r>
          </w:p>
        </w:tc>
        <w:tc>
          <w:tcPr>
            <w:tcW w:w="1161" w:type="dxa"/>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w:t>
            </w:r>
            <w:r>
              <w:rPr>
                <w:rFonts w:eastAsia="Times New Roman" w:cs="Times New Roman"/>
                <w:color w:val="000000"/>
                <w:kern w:val="0"/>
                <w:sz w:val="20"/>
                <w:szCs w:val="20"/>
                <w:lang w:eastAsia="zh-CN"/>
              </w:rPr>
              <w:t>.</w:t>
            </w:r>
            <w:r>
              <w:rPr>
                <w:rFonts w:eastAsia="Times New Roman" w:cs="Times New Roman"/>
                <w:color w:val="000000"/>
                <w:kern w:val="0"/>
                <w:sz w:val="20"/>
                <w:szCs w:val="20"/>
                <w:lang w:val="id-ID" w:eastAsia="zh-CN"/>
              </w:rPr>
              <w:t>915</w:t>
            </w:r>
          </w:p>
        </w:tc>
        <w:tc>
          <w:tcPr>
            <w:tcW w:w="1015" w:type="dxa"/>
            <w:noWrap/>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HTR</w:t>
            </w:r>
          </w:p>
        </w:tc>
        <w:tc>
          <w:tcPr>
            <w:tcW w:w="1295" w:type="dxa"/>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r>
      <w:tr w:rsidR="00C16B7F" w:rsidTr="00DF1F7B">
        <w:trPr>
          <w:trHeight w:val="319"/>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Meranti Wana Makmur</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Lubuk Bintialo</w:t>
            </w:r>
          </w:p>
        </w:tc>
        <w:tc>
          <w:tcPr>
            <w:tcW w:w="1161" w:type="dxa"/>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513</w:t>
            </w:r>
            <w:r>
              <w:rPr>
                <w:rFonts w:eastAsia="Times New Roman" w:cs="Times New Roman"/>
                <w:color w:val="000000"/>
                <w:kern w:val="0"/>
                <w:sz w:val="20"/>
                <w:szCs w:val="20"/>
                <w:lang w:eastAsia="zh-CN"/>
              </w:rPr>
              <w:t>,</w:t>
            </w:r>
            <w:r>
              <w:rPr>
                <w:rFonts w:eastAsia="Times New Roman" w:cs="Times New Roman"/>
                <w:color w:val="000000"/>
                <w:kern w:val="0"/>
                <w:sz w:val="20"/>
                <w:szCs w:val="20"/>
                <w:lang w:val="id-ID" w:eastAsia="zh-CN"/>
              </w:rPr>
              <w:t>27</w:t>
            </w:r>
          </w:p>
        </w:tc>
        <w:tc>
          <w:tcPr>
            <w:tcW w:w="1015" w:type="dxa"/>
            <w:noWrap/>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HKm</w:t>
            </w:r>
          </w:p>
        </w:tc>
        <w:tc>
          <w:tcPr>
            <w:tcW w:w="1295" w:type="dxa"/>
            <w:noWrap/>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ZSL</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r>
      <w:tr w:rsidR="00C16B7F" w:rsidTr="00DF1F7B">
        <w:trPr>
          <w:trHeight w:val="449"/>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Meranti Makmur Bersama</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Lubuk Bintialo</w:t>
            </w:r>
          </w:p>
        </w:tc>
        <w:tc>
          <w:tcPr>
            <w:tcW w:w="1161" w:type="dxa"/>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410.92</w:t>
            </w:r>
          </w:p>
        </w:tc>
        <w:tc>
          <w:tcPr>
            <w:tcW w:w="1015" w:type="dxa"/>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KK- KPH</w:t>
            </w:r>
          </w:p>
        </w:tc>
        <w:tc>
          <w:tcPr>
            <w:tcW w:w="1295" w:type="dxa"/>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r>
      <w:tr w:rsidR="00C16B7F" w:rsidTr="00DF1F7B">
        <w:trPr>
          <w:trHeight w:val="349"/>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Bukit Sumber Mas</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Pagar Desa</w:t>
            </w:r>
          </w:p>
        </w:tc>
        <w:tc>
          <w:tcPr>
            <w:tcW w:w="1161" w:type="dxa"/>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489</w:t>
            </w:r>
            <w:r>
              <w:rPr>
                <w:rFonts w:eastAsia="Times New Roman" w:cs="Times New Roman"/>
                <w:color w:val="000000"/>
                <w:kern w:val="0"/>
                <w:sz w:val="20"/>
                <w:szCs w:val="20"/>
                <w:lang w:eastAsia="zh-CN"/>
              </w:rPr>
              <w:t>,</w:t>
            </w:r>
            <w:r>
              <w:rPr>
                <w:rFonts w:eastAsia="Times New Roman" w:cs="Times New Roman"/>
                <w:color w:val="000000"/>
                <w:kern w:val="0"/>
                <w:sz w:val="20"/>
                <w:szCs w:val="20"/>
                <w:lang w:val="id-ID" w:eastAsia="zh-CN"/>
              </w:rPr>
              <w:t>08</w:t>
            </w:r>
          </w:p>
        </w:tc>
        <w:tc>
          <w:tcPr>
            <w:tcW w:w="1015" w:type="dxa"/>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KK- KPH</w:t>
            </w:r>
          </w:p>
        </w:tc>
        <w:tc>
          <w:tcPr>
            <w:tcW w:w="1295" w:type="dxa"/>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r>
      <w:tr w:rsidR="00C16B7F" w:rsidTr="00DF1F7B">
        <w:trPr>
          <w:trHeight w:val="368"/>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6</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KTH Bukit Sentosa Mas</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Pagar Desa</w:t>
            </w:r>
          </w:p>
        </w:tc>
        <w:tc>
          <w:tcPr>
            <w:tcW w:w="1161" w:type="dxa"/>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79</w:t>
            </w:r>
            <w:r>
              <w:rPr>
                <w:rFonts w:eastAsia="Times New Roman" w:cs="Times New Roman"/>
                <w:color w:val="000000"/>
                <w:kern w:val="0"/>
                <w:sz w:val="20"/>
                <w:szCs w:val="20"/>
                <w:lang w:eastAsia="zh-CN"/>
              </w:rPr>
              <w:t>,</w:t>
            </w:r>
            <w:r>
              <w:rPr>
                <w:rFonts w:eastAsia="Times New Roman" w:cs="Times New Roman"/>
                <w:color w:val="000000"/>
                <w:kern w:val="0"/>
                <w:sz w:val="20"/>
                <w:szCs w:val="20"/>
                <w:lang w:val="id-ID" w:eastAsia="zh-CN"/>
              </w:rPr>
              <w:t>28</w:t>
            </w:r>
          </w:p>
        </w:tc>
        <w:tc>
          <w:tcPr>
            <w:tcW w:w="1015" w:type="dxa"/>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KK-PT. RHM</w:t>
            </w:r>
          </w:p>
        </w:tc>
        <w:tc>
          <w:tcPr>
            <w:tcW w:w="1295" w:type="dxa"/>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r>
      <w:tr w:rsidR="00C16B7F" w:rsidTr="00DF1F7B">
        <w:trPr>
          <w:trHeight w:val="300"/>
        </w:trPr>
        <w:tc>
          <w:tcPr>
            <w:tcW w:w="476" w:type="dxa"/>
            <w:tcBorders>
              <w:top w:val="nil"/>
              <w:left w:val="nil"/>
              <w:bottom w:val="single" w:sz="4" w:space="0" w:color="auto"/>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7</w:t>
            </w:r>
          </w:p>
        </w:tc>
        <w:tc>
          <w:tcPr>
            <w:tcW w:w="2506" w:type="dxa"/>
            <w:tcBorders>
              <w:top w:val="nil"/>
              <w:left w:val="nil"/>
              <w:bottom w:val="single" w:sz="4" w:space="0" w:color="auto"/>
              <w:right w:val="nil"/>
            </w:tcBorders>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Maju Bersama</w:t>
            </w:r>
          </w:p>
        </w:tc>
        <w:tc>
          <w:tcPr>
            <w:tcW w:w="1418" w:type="dxa"/>
            <w:tcBorders>
              <w:top w:val="nil"/>
              <w:left w:val="nil"/>
              <w:bottom w:val="single" w:sz="4" w:space="0" w:color="auto"/>
              <w:right w:val="nil"/>
            </w:tcBorders>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Simpang Bayat</w:t>
            </w:r>
          </w:p>
        </w:tc>
        <w:tc>
          <w:tcPr>
            <w:tcW w:w="1161" w:type="dxa"/>
            <w:tcBorders>
              <w:top w:val="nil"/>
              <w:left w:val="nil"/>
              <w:bottom w:val="single" w:sz="4" w:space="0" w:color="auto"/>
              <w:right w:val="nil"/>
            </w:tcBorders>
            <w:noWrap/>
            <w:hideMark/>
          </w:tcPr>
          <w:p w:rsidR="00C16B7F" w:rsidRDefault="00C16B7F" w:rsidP="002D6D35">
            <w:pPr>
              <w:widowControl/>
              <w:tabs>
                <w:tab w:val="left" w:pos="585"/>
              </w:tabs>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710</w:t>
            </w:r>
          </w:p>
        </w:tc>
        <w:tc>
          <w:tcPr>
            <w:tcW w:w="1015" w:type="dxa"/>
            <w:tcBorders>
              <w:top w:val="nil"/>
              <w:left w:val="nil"/>
              <w:bottom w:val="single" w:sz="4" w:space="0" w:color="auto"/>
              <w:right w:val="nil"/>
            </w:tcBorders>
            <w:hideMark/>
          </w:tcPr>
          <w:p w:rsidR="00C16B7F" w:rsidRDefault="00C16B7F" w:rsidP="002D6D35">
            <w:pPr>
              <w:widowControl/>
              <w:tabs>
                <w:tab w:val="left" w:pos="1080"/>
              </w:tabs>
              <w:ind w:left="-111" w:right="-86"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HKm</w:t>
            </w:r>
          </w:p>
        </w:tc>
        <w:tc>
          <w:tcPr>
            <w:tcW w:w="1295" w:type="dxa"/>
            <w:tcBorders>
              <w:top w:val="nil"/>
              <w:left w:val="nil"/>
              <w:bottom w:val="single" w:sz="4" w:space="0" w:color="auto"/>
              <w:right w:val="nil"/>
            </w:tcBorders>
            <w:hideMark/>
          </w:tcPr>
          <w:p w:rsidR="00C16B7F" w:rsidRDefault="00C16B7F" w:rsidP="002D6D35">
            <w:pPr>
              <w:widowControl/>
              <w:tabs>
                <w:tab w:val="left" w:pos="868"/>
              </w:tabs>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Lingkar Hijau</w:t>
            </w:r>
          </w:p>
        </w:tc>
        <w:tc>
          <w:tcPr>
            <w:tcW w:w="750" w:type="dxa"/>
            <w:tcBorders>
              <w:top w:val="nil"/>
              <w:left w:val="nil"/>
              <w:bottom w:val="single" w:sz="4" w:space="0" w:color="auto"/>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r>
      <w:tr w:rsidR="00C16B7F" w:rsidTr="00DF1F7B">
        <w:trPr>
          <w:trHeight w:val="300"/>
        </w:trPr>
        <w:tc>
          <w:tcPr>
            <w:tcW w:w="4400" w:type="dxa"/>
            <w:gridSpan w:val="3"/>
            <w:tcBorders>
              <w:top w:val="single" w:sz="4" w:space="0" w:color="auto"/>
              <w:left w:val="nil"/>
              <w:bottom w:val="single" w:sz="4" w:space="0" w:color="auto"/>
              <w:right w:val="nil"/>
            </w:tcBorders>
            <w:noWrap/>
            <w:hideMark/>
          </w:tcPr>
          <w:p w:rsidR="00C16B7F" w:rsidRDefault="00C16B7F" w:rsidP="002D6D35">
            <w:pPr>
              <w:widowControl/>
              <w:ind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Sub Total</w:t>
            </w:r>
          </w:p>
        </w:tc>
        <w:tc>
          <w:tcPr>
            <w:tcW w:w="1161" w:type="dxa"/>
            <w:tcBorders>
              <w:top w:val="nil"/>
              <w:left w:val="nil"/>
              <w:bottom w:val="single" w:sz="4" w:space="0" w:color="auto"/>
              <w:right w:val="nil"/>
            </w:tcBorders>
            <w:noWrap/>
            <w:hideMark/>
          </w:tcPr>
          <w:p w:rsidR="00C16B7F" w:rsidRDefault="00C16B7F" w:rsidP="002D6D35">
            <w:pPr>
              <w:widowControl/>
              <w:tabs>
                <w:tab w:val="left" w:pos="585"/>
              </w:tabs>
              <w:ind w:left="-124" w:right="-72" w:firstLine="0"/>
              <w:jc w:val="right"/>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8.714</w:t>
            </w:r>
            <w:r>
              <w:rPr>
                <w:rFonts w:eastAsia="Times New Roman" w:cs="Times New Roman"/>
                <w:b/>
                <w:bCs/>
                <w:color w:val="000000"/>
                <w:kern w:val="0"/>
                <w:sz w:val="20"/>
                <w:szCs w:val="20"/>
                <w:lang w:eastAsia="zh-CN"/>
              </w:rPr>
              <w:t>,</w:t>
            </w:r>
            <w:r>
              <w:rPr>
                <w:rFonts w:eastAsia="Times New Roman" w:cs="Times New Roman"/>
                <w:b/>
                <w:bCs/>
                <w:color w:val="000000"/>
                <w:kern w:val="0"/>
                <w:sz w:val="20"/>
                <w:szCs w:val="20"/>
                <w:lang w:val="id-ID" w:eastAsia="zh-CN"/>
              </w:rPr>
              <w:t>45</w:t>
            </w:r>
          </w:p>
        </w:tc>
        <w:tc>
          <w:tcPr>
            <w:tcW w:w="1015" w:type="dxa"/>
            <w:tcBorders>
              <w:top w:val="nil"/>
              <w:left w:val="nil"/>
              <w:bottom w:val="single" w:sz="4" w:space="0" w:color="auto"/>
              <w:right w:val="nil"/>
            </w:tcBorders>
            <w:noWrap/>
            <w:vAlign w:val="bottom"/>
            <w:hideMark/>
          </w:tcPr>
          <w:p w:rsidR="00C16B7F" w:rsidRDefault="00C16B7F" w:rsidP="002D6D35">
            <w:pPr>
              <w:widowControl/>
              <w:tabs>
                <w:tab w:val="left" w:pos="1080"/>
              </w:tabs>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1295" w:type="dxa"/>
            <w:tcBorders>
              <w:top w:val="nil"/>
              <w:left w:val="nil"/>
              <w:bottom w:val="single" w:sz="4" w:space="0" w:color="auto"/>
              <w:right w:val="nil"/>
            </w:tcBorders>
            <w:noWrap/>
            <w:vAlign w:val="bottom"/>
            <w:hideMark/>
          </w:tcPr>
          <w:p w:rsidR="00C16B7F" w:rsidRDefault="00C16B7F" w:rsidP="002D6D35">
            <w:pPr>
              <w:widowControl/>
              <w:tabs>
                <w:tab w:val="left" w:pos="1080"/>
              </w:tabs>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750" w:type="dxa"/>
            <w:tcBorders>
              <w:top w:val="nil"/>
              <w:left w:val="nil"/>
              <w:bottom w:val="single" w:sz="4" w:space="0" w:color="auto"/>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r>
      <w:tr w:rsidR="00C16B7F" w:rsidTr="00DF1F7B">
        <w:trPr>
          <w:trHeight w:val="148"/>
        </w:trPr>
        <w:tc>
          <w:tcPr>
            <w:tcW w:w="476" w:type="dxa"/>
            <w:tcBorders>
              <w:top w:val="single" w:sz="4" w:space="0" w:color="auto"/>
              <w:left w:val="nil"/>
              <w:bottom w:val="nil"/>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8</w:t>
            </w:r>
          </w:p>
        </w:tc>
        <w:tc>
          <w:tcPr>
            <w:tcW w:w="2506" w:type="dxa"/>
            <w:tcBorders>
              <w:top w:val="single" w:sz="4" w:space="0" w:color="auto"/>
              <w:left w:val="nil"/>
              <w:bottom w:val="nil"/>
              <w:right w:val="nil"/>
            </w:tcBorders>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Karya Indah</w:t>
            </w:r>
          </w:p>
        </w:tc>
        <w:tc>
          <w:tcPr>
            <w:tcW w:w="1418" w:type="dxa"/>
            <w:tcBorders>
              <w:top w:val="single" w:sz="4" w:space="0" w:color="auto"/>
              <w:left w:val="nil"/>
              <w:bottom w:val="nil"/>
              <w:right w:val="nil"/>
            </w:tcBorders>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Lubuk Bintialo</w:t>
            </w:r>
          </w:p>
        </w:tc>
        <w:tc>
          <w:tcPr>
            <w:tcW w:w="1161" w:type="dxa"/>
            <w:tcBorders>
              <w:top w:val="single" w:sz="4" w:space="0" w:color="auto"/>
              <w:left w:val="nil"/>
              <w:bottom w:val="nil"/>
              <w:right w:val="nil"/>
            </w:tcBorders>
            <w:noWrap/>
            <w:hideMark/>
          </w:tcPr>
          <w:p w:rsidR="00C16B7F" w:rsidRDefault="00C16B7F" w:rsidP="002D6D35">
            <w:pPr>
              <w:widowControl/>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360.00</w:t>
            </w:r>
          </w:p>
        </w:tc>
        <w:tc>
          <w:tcPr>
            <w:tcW w:w="1015" w:type="dxa"/>
            <w:tcBorders>
              <w:top w:val="single" w:sz="4" w:space="0" w:color="auto"/>
              <w:left w:val="nil"/>
              <w:bottom w:val="nil"/>
              <w:right w:val="nil"/>
            </w:tcBorders>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HTR</w:t>
            </w:r>
          </w:p>
        </w:tc>
        <w:tc>
          <w:tcPr>
            <w:tcW w:w="1295" w:type="dxa"/>
            <w:tcBorders>
              <w:top w:val="single" w:sz="4" w:space="0" w:color="auto"/>
              <w:left w:val="nil"/>
              <w:bottom w:val="nil"/>
              <w:right w:val="nil"/>
            </w:tcBorders>
            <w:hideMark/>
          </w:tcPr>
          <w:p w:rsidR="00C16B7F" w:rsidRDefault="00C16B7F" w:rsidP="002D6D35">
            <w:pPr>
              <w:widowControl/>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tcBorders>
              <w:top w:val="single" w:sz="4" w:space="0" w:color="auto"/>
              <w:left w:val="nil"/>
              <w:bottom w:val="nil"/>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r>
      <w:tr w:rsidR="00C16B7F" w:rsidTr="00DF1F7B">
        <w:trPr>
          <w:trHeight w:val="80"/>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9</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KTH Tani Jaya</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Lubuk Bintialo</w:t>
            </w:r>
          </w:p>
        </w:tc>
        <w:tc>
          <w:tcPr>
            <w:tcW w:w="1161" w:type="dxa"/>
            <w:noWrap/>
            <w:hideMark/>
          </w:tcPr>
          <w:p w:rsidR="00C16B7F" w:rsidRDefault="00C16B7F" w:rsidP="002D6D35">
            <w:pPr>
              <w:widowControl/>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60</w:t>
            </w:r>
          </w:p>
        </w:tc>
        <w:tc>
          <w:tcPr>
            <w:tcW w:w="1015"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HKm</w:t>
            </w:r>
          </w:p>
        </w:tc>
        <w:tc>
          <w:tcPr>
            <w:tcW w:w="1295" w:type="dxa"/>
            <w:hideMark/>
          </w:tcPr>
          <w:p w:rsidR="00C16B7F" w:rsidRDefault="00C16B7F" w:rsidP="002D6D35">
            <w:pPr>
              <w:widowControl/>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r>
      <w:tr w:rsidR="00C16B7F" w:rsidTr="00DF1F7B">
        <w:trPr>
          <w:trHeight w:val="333"/>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10</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Mitra BersamaSejahtera</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Pangkalan Bulian</w:t>
            </w:r>
          </w:p>
        </w:tc>
        <w:tc>
          <w:tcPr>
            <w:tcW w:w="1161" w:type="dxa"/>
            <w:noWrap/>
            <w:hideMark/>
          </w:tcPr>
          <w:p w:rsidR="00C16B7F" w:rsidRDefault="00C16B7F" w:rsidP="002D6D35">
            <w:pPr>
              <w:widowControl/>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890.64</w:t>
            </w:r>
          </w:p>
        </w:tc>
        <w:tc>
          <w:tcPr>
            <w:tcW w:w="1015"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HTR</w:t>
            </w:r>
          </w:p>
        </w:tc>
        <w:tc>
          <w:tcPr>
            <w:tcW w:w="1295" w:type="dxa"/>
            <w:hideMark/>
          </w:tcPr>
          <w:p w:rsidR="00C16B7F" w:rsidRDefault="00C16B7F" w:rsidP="002D6D35">
            <w:pPr>
              <w:widowControl/>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r>
      <w:tr w:rsidR="00C16B7F" w:rsidTr="00DF1F7B">
        <w:trPr>
          <w:trHeight w:val="383"/>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11</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Sungai Merah Lestari</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Pangkalan Bulian</w:t>
            </w:r>
          </w:p>
        </w:tc>
        <w:tc>
          <w:tcPr>
            <w:tcW w:w="1161" w:type="dxa"/>
            <w:noWrap/>
            <w:hideMark/>
          </w:tcPr>
          <w:p w:rsidR="00C16B7F" w:rsidRDefault="00C16B7F" w:rsidP="002D6D35">
            <w:pPr>
              <w:widowControl/>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770.94</w:t>
            </w:r>
          </w:p>
        </w:tc>
        <w:tc>
          <w:tcPr>
            <w:tcW w:w="1015"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HTR</w:t>
            </w:r>
          </w:p>
        </w:tc>
        <w:tc>
          <w:tcPr>
            <w:tcW w:w="1295" w:type="dxa"/>
            <w:hideMark/>
          </w:tcPr>
          <w:p w:rsidR="00C16B7F" w:rsidRDefault="00C16B7F" w:rsidP="002D6D35">
            <w:pPr>
              <w:widowControl/>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KPH 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r>
      <w:tr w:rsidR="00C16B7F" w:rsidTr="00DF1F7B">
        <w:trPr>
          <w:trHeight w:val="163"/>
        </w:trPr>
        <w:tc>
          <w:tcPr>
            <w:tcW w:w="476"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12</w:t>
            </w:r>
          </w:p>
        </w:tc>
        <w:tc>
          <w:tcPr>
            <w:tcW w:w="2506" w:type="dxa"/>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KTH Keban Hijau Lestari</w:t>
            </w:r>
          </w:p>
        </w:tc>
        <w:tc>
          <w:tcPr>
            <w:tcW w:w="1418" w:type="dxa"/>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Keban</w:t>
            </w:r>
          </w:p>
        </w:tc>
        <w:tc>
          <w:tcPr>
            <w:tcW w:w="1161" w:type="dxa"/>
            <w:noWrap/>
            <w:hideMark/>
          </w:tcPr>
          <w:p w:rsidR="00C16B7F" w:rsidRDefault="00C16B7F" w:rsidP="002D6D35">
            <w:pPr>
              <w:widowControl/>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328.63</w:t>
            </w:r>
          </w:p>
        </w:tc>
        <w:tc>
          <w:tcPr>
            <w:tcW w:w="1015"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HTR</w:t>
            </w:r>
          </w:p>
        </w:tc>
        <w:tc>
          <w:tcPr>
            <w:tcW w:w="1295" w:type="dxa"/>
            <w:hideMark/>
          </w:tcPr>
          <w:p w:rsidR="00C16B7F" w:rsidRDefault="00C16B7F" w:rsidP="002D6D35">
            <w:pPr>
              <w:widowControl/>
              <w:ind w:left="-124" w:right="-72" w:firstLine="0"/>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KPHMeranti</w:t>
            </w:r>
          </w:p>
        </w:tc>
        <w:tc>
          <w:tcPr>
            <w:tcW w:w="750" w:type="dxa"/>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r>
      <w:tr w:rsidR="00C16B7F" w:rsidTr="00DF1F7B">
        <w:trPr>
          <w:trHeight w:val="300"/>
        </w:trPr>
        <w:tc>
          <w:tcPr>
            <w:tcW w:w="476" w:type="dxa"/>
            <w:tcBorders>
              <w:top w:val="nil"/>
              <w:left w:val="nil"/>
              <w:bottom w:val="single" w:sz="4" w:space="0" w:color="auto"/>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13</w:t>
            </w:r>
          </w:p>
        </w:tc>
        <w:tc>
          <w:tcPr>
            <w:tcW w:w="2506" w:type="dxa"/>
            <w:tcBorders>
              <w:top w:val="nil"/>
              <w:left w:val="nil"/>
              <w:bottom w:val="single" w:sz="4" w:space="0" w:color="auto"/>
              <w:right w:val="nil"/>
            </w:tcBorders>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Gapoktan Tunas Muda</w:t>
            </w:r>
          </w:p>
        </w:tc>
        <w:tc>
          <w:tcPr>
            <w:tcW w:w="1418" w:type="dxa"/>
            <w:tcBorders>
              <w:top w:val="nil"/>
              <w:left w:val="nil"/>
              <w:bottom w:val="single" w:sz="4" w:space="0" w:color="auto"/>
              <w:right w:val="nil"/>
            </w:tcBorders>
            <w:noWrap/>
            <w:hideMark/>
          </w:tcPr>
          <w:p w:rsidR="00C16B7F" w:rsidRDefault="00C16B7F" w:rsidP="00DF1F7B">
            <w:pPr>
              <w:widowControl/>
              <w:ind w:left="-141" w:right="-13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Pagar Desa</w:t>
            </w:r>
          </w:p>
        </w:tc>
        <w:tc>
          <w:tcPr>
            <w:tcW w:w="1161" w:type="dxa"/>
            <w:tcBorders>
              <w:top w:val="nil"/>
              <w:left w:val="nil"/>
              <w:bottom w:val="single" w:sz="4" w:space="0" w:color="auto"/>
              <w:right w:val="nil"/>
            </w:tcBorders>
            <w:noWrap/>
            <w:hideMark/>
          </w:tcPr>
          <w:p w:rsidR="00C16B7F" w:rsidRDefault="00C16B7F" w:rsidP="002D6D35">
            <w:pPr>
              <w:widowControl/>
              <w:ind w:left="-124" w:right="-72"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1.936</w:t>
            </w:r>
          </w:p>
        </w:tc>
        <w:tc>
          <w:tcPr>
            <w:tcW w:w="1015" w:type="dxa"/>
            <w:tcBorders>
              <w:top w:val="nil"/>
              <w:left w:val="nil"/>
              <w:bottom w:val="single" w:sz="4" w:space="0" w:color="auto"/>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HKm</w:t>
            </w:r>
          </w:p>
        </w:tc>
        <w:tc>
          <w:tcPr>
            <w:tcW w:w="1295" w:type="dxa"/>
            <w:tcBorders>
              <w:top w:val="nil"/>
              <w:left w:val="nil"/>
              <w:bottom w:val="single" w:sz="4" w:space="0" w:color="auto"/>
              <w:right w:val="nil"/>
            </w:tcBorders>
            <w:hideMark/>
          </w:tcPr>
          <w:p w:rsidR="00C16B7F" w:rsidRDefault="00C16B7F" w:rsidP="002D6D35">
            <w:pPr>
              <w:widowControl/>
              <w:ind w:left="-124" w:right="-72"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Lingkar Hijau</w:t>
            </w:r>
          </w:p>
        </w:tc>
        <w:tc>
          <w:tcPr>
            <w:tcW w:w="750" w:type="dxa"/>
            <w:tcBorders>
              <w:top w:val="nil"/>
              <w:left w:val="nil"/>
              <w:bottom w:val="single" w:sz="4" w:space="0" w:color="auto"/>
              <w:right w:val="nil"/>
            </w:tcBorders>
            <w:noWrap/>
            <w:hideMark/>
          </w:tcPr>
          <w:p w:rsidR="00C16B7F" w:rsidRDefault="00C16B7F" w:rsidP="002D6D35">
            <w:pPr>
              <w:widowControl/>
              <w:ind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r>
      <w:tr w:rsidR="00C16B7F" w:rsidTr="00DF1F7B">
        <w:trPr>
          <w:trHeight w:val="300"/>
        </w:trPr>
        <w:tc>
          <w:tcPr>
            <w:tcW w:w="4400" w:type="dxa"/>
            <w:gridSpan w:val="3"/>
            <w:tcBorders>
              <w:top w:val="single" w:sz="4" w:space="0" w:color="auto"/>
              <w:left w:val="nil"/>
              <w:bottom w:val="single" w:sz="4" w:space="0" w:color="auto"/>
              <w:right w:val="nil"/>
            </w:tcBorders>
            <w:noWrap/>
            <w:hideMark/>
          </w:tcPr>
          <w:p w:rsidR="00C16B7F" w:rsidRDefault="00C16B7F" w:rsidP="002D6D35">
            <w:pPr>
              <w:widowControl/>
              <w:ind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Sub Total</w:t>
            </w:r>
          </w:p>
        </w:tc>
        <w:tc>
          <w:tcPr>
            <w:tcW w:w="1161" w:type="dxa"/>
            <w:tcBorders>
              <w:top w:val="nil"/>
              <w:left w:val="nil"/>
              <w:bottom w:val="single" w:sz="4" w:space="0" w:color="auto"/>
              <w:right w:val="nil"/>
            </w:tcBorders>
            <w:noWrap/>
            <w:hideMark/>
          </w:tcPr>
          <w:p w:rsidR="00C16B7F" w:rsidRDefault="00C16B7F" w:rsidP="002D6D35">
            <w:pPr>
              <w:widowControl/>
              <w:ind w:left="-124" w:right="-72" w:firstLine="0"/>
              <w:jc w:val="right"/>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4.346.21</w:t>
            </w:r>
          </w:p>
        </w:tc>
        <w:tc>
          <w:tcPr>
            <w:tcW w:w="1015" w:type="dxa"/>
            <w:tcBorders>
              <w:top w:val="nil"/>
              <w:left w:val="nil"/>
              <w:bottom w:val="single" w:sz="4" w:space="0" w:color="auto"/>
              <w:right w:val="nil"/>
            </w:tcBorders>
            <w:noWrap/>
            <w:vAlign w:val="bottom"/>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1295" w:type="dxa"/>
            <w:tcBorders>
              <w:top w:val="nil"/>
              <w:left w:val="nil"/>
              <w:bottom w:val="single" w:sz="4" w:space="0" w:color="auto"/>
              <w:right w:val="nil"/>
            </w:tcBorders>
            <w:noWrap/>
            <w:vAlign w:val="bottom"/>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750" w:type="dxa"/>
            <w:tcBorders>
              <w:top w:val="nil"/>
              <w:left w:val="nil"/>
              <w:bottom w:val="single" w:sz="4" w:space="0" w:color="auto"/>
              <w:right w:val="nil"/>
            </w:tcBorders>
            <w:noWrap/>
            <w:vAlign w:val="bottom"/>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r>
      <w:tr w:rsidR="00C16B7F" w:rsidTr="00DF1F7B">
        <w:trPr>
          <w:trHeight w:val="300"/>
        </w:trPr>
        <w:tc>
          <w:tcPr>
            <w:tcW w:w="4400" w:type="dxa"/>
            <w:gridSpan w:val="3"/>
            <w:tcBorders>
              <w:top w:val="single" w:sz="4" w:space="0" w:color="auto"/>
              <w:left w:val="nil"/>
              <w:bottom w:val="single" w:sz="4" w:space="0" w:color="auto"/>
              <w:right w:val="nil"/>
            </w:tcBorders>
            <w:hideMark/>
          </w:tcPr>
          <w:p w:rsidR="00C16B7F" w:rsidRDefault="00C16B7F" w:rsidP="002D6D35">
            <w:pPr>
              <w:widowControl/>
              <w:ind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TOTAL</w:t>
            </w:r>
          </w:p>
        </w:tc>
        <w:tc>
          <w:tcPr>
            <w:tcW w:w="1161" w:type="dxa"/>
            <w:tcBorders>
              <w:top w:val="nil"/>
              <w:left w:val="nil"/>
              <w:bottom w:val="single" w:sz="4" w:space="0" w:color="auto"/>
              <w:right w:val="nil"/>
            </w:tcBorders>
            <w:noWrap/>
            <w:hideMark/>
          </w:tcPr>
          <w:p w:rsidR="00C16B7F" w:rsidRDefault="00C16B7F" w:rsidP="00DF1F7B">
            <w:pPr>
              <w:widowControl/>
              <w:ind w:left="-75" w:right="-114" w:firstLine="0"/>
              <w:jc w:val="right"/>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13.060.66</w:t>
            </w:r>
          </w:p>
        </w:tc>
        <w:tc>
          <w:tcPr>
            <w:tcW w:w="1015" w:type="dxa"/>
            <w:tcBorders>
              <w:top w:val="nil"/>
              <w:left w:val="nil"/>
              <w:bottom w:val="single" w:sz="4" w:space="0" w:color="auto"/>
              <w:right w:val="nil"/>
            </w:tcBorders>
            <w:noWrap/>
            <w:vAlign w:val="bottom"/>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1295" w:type="dxa"/>
            <w:tcBorders>
              <w:top w:val="nil"/>
              <w:left w:val="nil"/>
              <w:bottom w:val="single" w:sz="4" w:space="0" w:color="auto"/>
              <w:right w:val="nil"/>
            </w:tcBorders>
            <w:noWrap/>
            <w:vAlign w:val="bottom"/>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750" w:type="dxa"/>
            <w:tcBorders>
              <w:top w:val="nil"/>
              <w:left w:val="nil"/>
              <w:bottom w:val="single" w:sz="4" w:space="0" w:color="auto"/>
              <w:right w:val="nil"/>
            </w:tcBorders>
            <w:noWrap/>
            <w:vAlign w:val="bottom"/>
            <w:hideMark/>
          </w:tcPr>
          <w:p w:rsidR="00C16B7F" w:rsidRDefault="00C16B7F" w:rsidP="002D6D35">
            <w:pPr>
              <w:widowControl/>
              <w:ind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r>
    </w:tbl>
    <w:p w:rsidR="00C16B7F" w:rsidRDefault="002D6D35" w:rsidP="00C16B7F">
      <w:pPr>
        <w:ind w:firstLine="0"/>
        <w:rPr>
          <w:rFonts w:eastAsia="Times New Roman" w:cs="Times New Roman"/>
          <w:color w:val="000000"/>
          <w:kern w:val="0"/>
          <w:sz w:val="20"/>
          <w:szCs w:val="20"/>
          <w:lang w:eastAsia="zh-CN"/>
        </w:rPr>
      </w:pPr>
      <w:r>
        <w:rPr>
          <w:rFonts w:eastAsia="Times New Roman" w:cs="Times New Roman"/>
          <w:color w:val="000000"/>
          <w:kern w:val="0"/>
          <w:sz w:val="20"/>
          <w:szCs w:val="20"/>
          <w:lang w:eastAsia="zh-CN"/>
        </w:rPr>
        <w:t>Source</w:t>
      </w:r>
      <w:r w:rsidR="00C16B7F">
        <w:rPr>
          <w:rFonts w:eastAsia="Times New Roman" w:cs="Times New Roman"/>
          <w:color w:val="000000"/>
          <w:kern w:val="0"/>
          <w:sz w:val="20"/>
          <w:szCs w:val="20"/>
          <w:lang w:eastAsia="zh-CN"/>
        </w:rPr>
        <w:t xml:space="preserve">: UPTD KPH </w:t>
      </w:r>
      <w:r>
        <w:rPr>
          <w:rFonts w:eastAsia="Times New Roman" w:cs="Times New Roman"/>
          <w:color w:val="000000"/>
          <w:kern w:val="0"/>
          <w:sz w:val="20"/>
          <w:szCs w:val="20"/>
          <w:lang w:eastAsia="zh-CN"/>
        </w:rPr>
        <w:t>Regional</w:t>
      </w:r>
      <w:r w:rsidR="00C16B7F">
        <w:rPr>
          <w:rFonts w:eastAsia="Times New Roman" w:cs="Times New Roman"/>
          <w:color w:val="000000"/>
          <w:kern w:val="0"/>
          <w:sz w:val="20"/>
          <w:szCs w:val="20"/>
          <w:lang w:eastAsia="zh-CN"/>
        </w:rPr>
        <w:t xml:space="preserve"> 1 </w:t>
      </w:r>
      <w:proofErr w:type="spellStart"/>
      <w:r w:rsidR="00C16B7F">
        <w:rPr>
          <w:rFonts w:eastAsia="Times New Roman" w:cs="Times New Roman"/>
          <w:color w:val="000000"/>
          <w:kern w:val="0"/>
          <w:sz w:val="20"/>
          <w:szCs w:val="20"/>
          <w:lang w:eastAsia="zh-CN"/>
        </w:rPr>
        <w:t>Meranti</w:t>
      </w:r>
      <w:proofErr w:type="spellEnd"/>
    </w:p>
    <w:p w:rsidR="00C16B7F" w:rsidRPr="00525CBC" w:rsidRDefault="002D6D35" w:rsidP="00C16B7F">
      <w:pPr>
        <w:ind w:firstLine="0"/>
        <w:rPr>
          <w:rFonts w:eastAsia="Times New Roman" w:cs="Times New Roman"/>
          <w:color w:val="000000"/>
          <w:kern w:val="0"/>
          <w:sz w:val="20"/>
          <w:szCs w:val="20"/>
          <w:lang w:eastAsia="zh-CN"/>
        </w:rPr>
      </w:pPr>
      <w:r>
        <w:rPr>
          <w:rFonts w:eastAsia="Times New Roman" w:cs="Times New Roman"/>
          <w:color w:val="000000"/>
          <w:kern w:val="0"/>
          <w:sz w:val="20"/>
          <w:szCs w:val="20"/>
          <w:lang w:eastAsia="zh-CN"/>
        </w:rPr>
        <w:t>Note</w:t>
      </w:r>
      <w:r w:rsidR="00C16B7F">
        <w:rPr>
          <w:rFonts w:eastAsia="Times New Roman" w:cs="Times New Roman"/>
          <w:color w:val="000000"/>
          <w:kern w:val="0"/>
          <w:sz w:val="20"/>
          <w:szCs w:val="20"/>
          <w:lang w:eastAsia="zh-CN"/>
        </w:rPr>
        <w:t>:</w:t>
      </w:r>
      <w:r>
        <w:rPr>
          <w:rFonts w:eastAsia="Times New Roman" w:cs="Times New Roman"/>
          <w:color w:val="000000"/>
          <w:kern w:val="0"/>
          <w:sz w:val="20"/>
          <w:szCs w:val="20"/>
          <w:lang w:eastAsia="zh-CN"/>
        </w:rPr>
        <w:tab/>
      </w:r>
      <w:r w:rsidR="00C16B7F">
        <w:rPr>
          <w:rFonts w:eastAsia="Times New Roman" w:cs="Times New Roman"/>
          <w:color w:val="000000"/>
          <w:kern w:val="0"/>
          <w:sz w:val="20"/>
          <w:szCs w:val="20"/>
          <w:lang w:val="id-ID" w:eastAsia="zh-CN"/>
        </w:rPr>
        <w:t xml:space="preserve">1 = </w:t>
      </w:r>
      <w:r w:rsidR="00525CBC">
        <w:rPr>
          <w:rFonts w:eastAsia="Times New Roman" w:cs="Times New Roman"/>
          <w:color w:val="000000"/>
          <w:kern w:val="0"/>
          <w:sz w:val="20"/>
          <w:szCs w:val="20"/>
          <w:lang w:eastAsia="zh-CN"/>
        </w:rPr>
        <w:t>got permission</w:t>
      </w:r>
    </w:p>
    <w:p w:rsidR="00C16B7F" w:rsidRPr="00525CBC" w:rsidRDefault="00C16B7F" w:rsidP="002D6D35">
      <w:pPr>
        <w:ind w:firstLine="720"/>
        <w:rPr>
          <w:rFonts w:eastAsia="Times New Roman" w:cs="Times New Roman"/>
          <w:color w:val="000000"/>
          <w:kern w:val="0"/>
          <w:sz w:val="20"/>
          <w:szCs w:val="20"/>
          <w:lang w:eastAsia="zh-CN"/>
        </w:rPr>
      </w:pPr>
      <w:r>
        <w:rPr>
          <w:rFonts w:eastAsia="Times New Roman" w:cs="Times New Roman"/>
          <w:color w:val="000000"/>
          <w:kern w:val="0"/>
          <w:sz w:val="20"/>
          <w:szCs w:val="20"/>
          <w:lang w:val="id-ID" w:eastAsia="zh-CN"/>
        </w:rPr>
        <w:t xml:space="preserve">2 = </w:t>
      </w:r>
      <w:r w:rsidR="00525CBC">
        <w:rPr>
          <w:rFonts w:eastAsia="Times New Roman" w:cs="Times New Roman"/>
          <w:color w:val="000000"/>
          <w:kern w:val="0"/>
          <w:sz w:val="20"/>
          <w:szCs w:val="20"/>
          <w:lang w:eastAsia="zh-CN"/>
        </w:rPr>
        <w:t>verified</w:t>
      </w:r>
    </w:p>
    <w:p w:rsidR="00C16B7F" w:rsidRPr="00525CBC" w:rsidRDefault="00C16B7F" w:rsidP="002D6D35">
      <w:pPr>
        <w:ind w:firstLine="720"/>
        <w:rPr>
          <w:rFonts w:eastAsia="Times New Roman" w:cs="Times New Roman"/>
          <w:color w:val="000000"/>
          <w:kern w:val="0"/>
          <w:sz w:val="20"/>
          <w:szCs w:val="20"/>
          <w:lang w:eastAsia="zh-CN"/>
        </w:rPr>
      </w:pPr>
      <w:r>
        <w:rPr>
          <w:rFonts w:eastAsia="Times New Roman" w:cs="Times New Roman"/>
          <w:color w:val="000000"/>
          <w:kern w:val="0"/>
          <w:sz w:val="20"/>
          <w:szCs w:val="20"/>
          <w:lang w:val="id-ID" w:eastAsia="zh-CN"/>
        </w:rPr>
        <w:t xml:space="preserve">3 = </w:t>
      </w:r>
      <w:r w:rsidR="00525CBC">
        <w:rPr>
          <w:rFonts w:eastAsia="Times New Roman" w:cs="Times New Roman"/>
          <w:color w:val="000000"/>
          <w:kern w:val="0"/>
          <w:sz w:val="20"/>
          <w:szCs w:val="20"/>
          <w:lang w:eastAsia="zh-CN"/>
        </w:rPr>
        <w:t>submission</w:t>
      </w:r>
    </w:p>
    <w:p w:rsidR="00525CBC" w:rsidRDefault="00525CBC" w:rsidP="00172A27">
      <w:r w:rsidRPr="00525CBC">
        <w:t xml:space="preserve">Human resources are one of the variables that influence the success of policy implementation. Human resources must be sufficient (number), and competent (expertise) </w:t>
      </w:r>
      <w:r w:rsidR="00B40461">
        <w:fldChar w:fldCharType="begin" w:fldLock="1"/>
      </w:r>
      <w:r>
        <w:instrText>ADDIN CSL_CITATION {"citationItems":[{"id":"ITEM-1","itemData":{"author":[{"dropping-particle":"","family":"Ruhimat","given":"Idin Saepudin","non-dropping-particle":"","parse-names":false,"suffix":""}],"container-title":"Jurnal Analisis Kebijakan Kehutanan","id":"ITEM-1","issue":"3","issued":{"date-parts":[["2010"]]},"page":"169-178","title":"Impelementasi Kebijakan Kesatuan Pengelolaan Hutan ( KPH ) di Kabupaten Banjar","type":"article-journal","volume":"7"},"uris":["http://www.mendeley.com/documents/?uuid=42a62169-0010-48ed-8ca9-cd233bc2d945"]}],"mendeley":{"formattedCitation":"[40]","plainTextFormattedCitation":"[40]","previouslyFormattedCitation":"(Ruhimat, 2010)"},"properties":{"noteIndex":0},"schema":"https://github.com/citation-style-language/schema/raw/master/csl-citation.json"}</w:instrText>
      </w:r>
      <w:r w:rsidR="00B40461">
        <w:fldChar w:fldCharType="separate"/>
      </w:r>
      <w:r w:rsidRPr="00F70037">
        <w:rPr>
          <w:noProof/>
        </w:rPr>
        <w:t>[40]</w:t>
      </w:r>
      <w:r w:rsidR="00B40461">
        <w:fldChar w:fldCharType="end"/>
      </w:r>
      <w:r>
        <w:t xml:space="preserve">. </w:t>
      </w:r>
      <w:r w:rsidRPr="00525CBC">
        <w:t xml:space="preserve">Although communication is good and consistent and has been properly transformed, but if human resources are limited both in quantity and quality, the implementation of policies will not be effective </w:t>
      </w:r>
      <w:r w:rsidR="00B40461">
        <w:fldChar w:fldCharType="begin" w:fldLock="1"/>
      </w:r>
      <w:r>
        <w:instrText>ADDIN CSL_CITATION {"citationItems":[{"id":"ITEM-1","itemData":{"author":[{"dropping-particle":"","family":"Wilujeng","given":"Etik","non-dropping-particle":"","parse-names":false,"suffix":""}],"container-title":"Kebijakan dan Manajemen Publik","id":"ITEM-1","issue":"April","issued":{"date-parts":[["2015"]]},"page":"1-10","title":"Implementasi Kebijakan Pengelolaan Hutan Bersama Masyarakat (PHBM) dalam Rangka Pelestarian Hutan Di KPH Blora","type":"article-journal","volume":"3"},"uris":["http://www.mendeley.com/documents/?uuid=ccfe4f23-f744-4979-ba73-d5cb794fabb1"]}],"mendeley":{"formattedCitation":"[39]","plainTextFormattedCitation":"[39]","previouslyFormattedCitation":"(Wilujeng, 2015)"},"properties":{"noteIndex":0},"schema":"https://github.com/citation-style-language/schema/raw/master/csl-citation.json"}</w:instrText>
      </w:r>
      <w:r w:rsidR="00B40461">
        <w:fldChar w:fldCharType="separate"/>
      </w:r>
      <w:r w:rsidRPr="00F70037">
        <w:rPr>
          <w:noProof/>
        </w:rPr>
        <w:t>[39]</w:t>
      </w:r>
      <w:r w:rsidR="00B40461">
        <w:fldChar w:fldCharType="end"/>
      </w:r>
      <w:r>
        <w:t>.</w:t>
      </w:r>
      <w:r w:rsidRPr="00525CBC">
        <w:t xml:space="preserve"> But on the contrary if human resources are sufficient in number and quality, but the information obtained in relation </w:t>
      </w:r>
      <w:r w:rsidRPr="00525CBC">
        <w:lastRenderedPageBreak/>
        <w:t>to the implementation of policies from superiors above is insufficient, the implementation of policies will also not be effective. Therefore, human resources must have accuracy and feasibility between the number of staff needed and expertise possessed in accordance with the work tasks they handle</w:t>
      </w:r>
      <w:r>
        <w:t>.</w:t>
      </w:r>
    </w:p>
    <w:p w:rsidR="00214565" w:rsidRDefault="00085A6B" w:rsidP="00214565">
      <w:pPr>
        <w:rPr>
          <w:szCs w:val="24"/>
        </w:rPr>
      </w:pPr>
      <w:r>
        <w:rPr>
          <w:noProof/>
          <w:szCs w:val="24"/>
          <w:lang w:val="id-ID" w:eastAsia="id-ID"/>
        </w:rPr>
        <w:drawing>
          <wp:anchor distT="0" distB="0" distL="114300" distR="114300" simplePos="0" relativeHeight="251670528" behindDoc="0" locked="0" layoutInCell="1" allowOverlap="1">
            <wp:simplePos x="0" y="0"/>
            <wp:positionH relativeFrom="column">
              <wp:posOffset>-3810</wp:posOffset>
            </wp:positionH>
            <wp:positionV relativeFrom="paragraph">
              <wp:posOffset>1983105</wp:posOffset>
            </wp:positionV>
            <wp:extent cx="5215890" cy="5295900"/>
            <wp:effectExtent l="1905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5890" cy="5295900"/>
                    </a:xfrm>
                    <a:prstGeom prst="rect">
                      <a:avLst/>
                    </a:prstGeom>
                    <a:noFill/>
                  </pic:spPr>
                </pic:pic>
              </a:graphicData>
            </a:graphic>
          </wp:anchor>
        </w:drawing>
      </w:r>
      <w:r w:rsidR="00214565" w:rsidRPr="00214565">
        <w:rPr>
          <w:szCs w:val="24"/>
          <w:lang w:val="id-ID"/>
        </w:rPr>
        <w:t xml:space="preserve">Implement social forestry policies at the UPTD </w:t>
      </w:r>
      <w:r w:rsidR="00214565">
        <w:rPr>
          <w:szCs w:val="24"/>
        </w:rPr>
        <w:t>KPH Reg.1</w:t>
      </w:r>
      <w:r w:rsidR="00214565" w:rsidRPr="00214565">
        <w:rPr>
          <w:szCs w:val="24"/>
          <w:lang w:val="id-ID"/>
        </w:rPr>
        <w:t xml:space="preserve"> Meranti is still constrained by the lack of staff involved to succeed in implementing social forestry policies. Staff involved in the form of forestry extension officers are only 1 (one) person. Even though forestry counseling is very influential on increasing community knowledge about forests </w:t>
      </w:r>
      <w:r w:rsidR="00B40461">
        <w:rPr>
          <w:szCs w:val="24"/>
        </w:rPr>
        <w:fldChar w:fldCharType="begin" w:fldLock="1"/>
      </w:r>
      <w:r w:rsidR="00214565">
        <w:rPr>
          <w:szCs w:val="24"/>
        </w:rPr>
        <w:instrText>ADDIN CSL_CITATION {"citationItems":[{"id":"ITEM-1","itemData":{"author":[{"dropping-particle":"","family":"Waluyo","given":"Efendi Agus","non-dropping-particle":"","parse-names":false,"suffix":""},{"dropping-particle":"","family":"Ulya","given":"Nur Arifatul","non-dropping-particle":"","parse-names":false,"suffix":""},{"dropping-particle":"","family":"Martin","given":"Edwin","non-dropping-particle":"","parse-names":false,"suffix":""}],"container-title":"Jurnal Penelitian Hutan dan Konservasi Alam","id":"ITEM-1","issued":{"date-parts":[["2010"]]},"page":"271-280","title":"Perencanaan sosial dalam rangka pengembangan hutan rakyat di sumatera selatan","type":"article-journal","volume":"VII (3)"},"uris":["http://www.mendeley.com/documents/?uuid=76fe6268-f818-41fb-8434-3cc00602508c"]}],"mendeley":{"formattedCitation":"[41]","plainTextFormattedCitation":"[41]","previouslyFormattedCitation":"(Waluyo et al., 2010)"},"properties":{"noteIndex":0},"schema":"https://github.com/citation-style-language/schema/raw/master/csl-citation.json"}</w:instrText>
      </w:r>
      <w:r w:rsidR="00B40461">
        <w:rPr>
          <w:szCs w:val="24"/>
        </w:rPr>
        <w:fldChar w:fldCharType="separate"/>
      </w:r>
      <w:r w:rsidR="00214565" w:rsidRPr="00F70037">
        <w:rPr>
          <w:noProof/>
          <w:szCs w:val="24"/>
        </w:rPr>
        <w:t>[41]</w:t>
      </w:r>
      <w:r w:rsidR="00B40461">
        <w:rPr>
          <w:szCs w:val="24"/>
        </w:rPr>
        <w:fldChar w:fldCharType="end"/>
      </w:r>
      <w:r w:rsidR="00214565">
        <w:rPr>
          <w:szCs w:val="24"/>
        </w:rPr>
        <w:t xml:space="preserve">. </w:t>
      </w:r>
      <w:r w:rsidR="00214565" w:rsidRPr="00214565">
        <w:rPr>
          <w:szCs w:val="24"/>
          <w:lang w:val="id-ID"/>
        </w:rPr>
        <w:t xml:space="preserve">This condition is considered not ideal when considering the amount of </w:t>
      </w:r>
      <w:r w:rsidR="00214565">
        <w:rPr>
          <w:szCs w:val="24"/>
        </w:rPr>
        <w:t>forest farmer group</w:t>
      </w:r>
      <w:r w:rsidR="00214565" w:rsidRPr="00214565">
        <w:rPr>
          <w:szCs w:val="24"/>
          <w:lang w:val="id-ID"/>
        </w:rPr>
        <w:t xml:space="preserve"> and the </w:t>
      </w:r>
      <w:r w:rsidR="00214565">
        <w:rPr>
          <w:szCs w:val="24"/>
        </w:rPr>
        <w:t xml:space="preserve">work </w:t>
      </w:r>
      <w:r w:rsidR="00214565" w:rsidRPr="00214565">
        <w:rPr>
          <w:szCs w:val="24"/>
          <w:lang w:val="id-ID"/>
        </w:rPr>
        <w:t xml:space="preserve">area (Table </w:t>
      </w:r>
      <w:r w:rsidR="00214565">
        <w:rPr>
          <w:szCs w:val="24"/>
        </w:rPr>
        <w:t>6</w:t>
      </w:r>
      <w:r w:rsidR="00214565" w:rsidRPr="00214565">
        <w:rPr>
          <w:szCs w:val="24"/>
          <w:lang w:val="id-ID"/>
        </w:rPr>
        <w:t xml:space="preserve">). Not only in Muba Regency, this condition is experienced evenly in all districts / cities in South Sumatra. The distribution of forestry extension workers is not balanced between districts without considering the amount of </w:t>
      </w:r>
      <w:r w:rsidR="00214565">
        <w:rPr>
          <w:szCs w:val="24"/>
        </w:rPr>
        <w:t>forest farmer group</w:t>
      </w:r>
      <w:r w:rsidR="00214565" w:rsidRPr="00214565">
        <w:rPr>
          <w:szCs w:val="24"/>
          <w:lang w:val="id-ID"/>
        </w:rPr>
        <w:t xml:space="preserve"> and the area of management. This must be the concern of policy implementers because forestry extension agents are the key to connecting communication between policy and the community.</w:t>
      </w:r>
    </w:p>
    <w:p w:rsidR="00C16B7F" w:rsidRDefault="00C16B7F" w:rsidP="00C16B7F">
      <w:pPr>
        <w:ind w:firstLine="0"/>
      </w:pPr>
    </w:p>
    <w:p w:rsidR="00C16B7F" w:rsidRDefault="00086A58" w:rsidP="007B18A2">
      <w:pPr>
        <w:pStyle w:val="JudulGambar"/>
        <w:spacing w:line="240" w:lineRule="auto"/>
        <w:outlineLvl w:val="0"/>
      </w:pPr>
      <w:bookmarkStart w:id="5" w:name="_Toc2873255"/>
      <w:proofErr w:type="gramStart"/>
      <w:r>
        <w:rPr>
          <w:lang w:val="en-US"/>
        </w:rPr>
        <w:t>Figure 3</w:t>
      </w:r>
      <w:r w:rsidR="00C16B7F">
        <w:t>.</w:t>
      </w:r>
      <w:proofErr w:type="gramEnd"/>
      <w:r w:rsidR="00C16B7F">
        <w:t xml:space="preserve"> </w:t>
      </w:r>
      <w:bookmarkEnd w:id="5"/>
      <w:r w:rsidRPr="00086A58">
        <w:t>The process of issuing social forestry permits: old (right) and new (left)</w:t>
      </w:r>
    </w:p>
    <w:p w:rsidR="00C16B7F" w:rsidRDefault="00086A58" w:rsidP="007B18A2">
      <w:pPr>
        <w:ind w:firstLine="0"/>
        <w:outlineLvl w:val="0"/>
        <w:rPr>
          <w:sz w:val="22"/>
        </w:rPr>
      </w:pPr>
      <w:r>
        <w:rPr>
          <w:sz w:val="22"/>
        </w:rPr>
        <w:t>Notes</w:t>
      </w:r>
      <w:r w:rsidR="00C16B7F">
        <w:rPr>
          <w:sz w:val="22"/>
        </w:rPr>
        <w:t>:</w:t>
      </w:r>
      <w:r>
        <w:rPr>
          <w:sz w:val="22"/>
        </w:rPr>
        <w:tab/>
      </w:r>
      <w:r w:rsidR="00DF1F7B">
        <w:rPr>
          <w:sz w:val="22"/>
        </w:rPr>
        <w:t xml:space="preserve">old </w:t>
      </w:r>
      <w:r w:rsidR="00C16B7F">
        <w:rPr>
          <w:sz w:val="22"/>
        </w:rPr>
        <w:t xml:space="preserve">= </w:t>
      </w:r>
      <w:r>
        <w:rPr>
          <w:sz w:val="22"/>
        </w:rPr>
        <w:t xml:space="preserve">according to </w:t>
      </w:r>
      <w:proofErr w:type="spellStart"/>
      <w:r w:rsidR="00DF1F7B">
        <w:rPr>
          <w:sz w:val="22"/>
        </w:rPr>
        <w:t>Permenhut</w:t>
      </w:r>
      <w:proofErr w:type="spellEnd"/>
      <w:r w:rsidR="00DF1F7B">
        <w:rPr>
          <w:sz w:val="22"/>
        </w:rPr>
        <w:t xml:space="preserve"> </w:t>
      </w:r>
      <w:r w:rsidR="00DF1F7B" w:rsidRPr="004D1705">
        <w:rPr>
          <w:sz w:val="22"/>
        </w:rPr>
        <w:t>P.89/</w:t>
      </w:r>
      <w:proofErr w:type="spellStart"/>
      <w:r w:rsidR="00DF1F7B" w:rsidRPr="004D1705">
        <w:rPr>
          <w:sz w:val="22"/>
        </w:rPr>
        <w:t>Menhut</w:t>
      </w:r>
      <w:proofErr w:type="spellEnd"/>
      <w:r w:rsidR="00DF1F7B" w:rsidRPr="004D1705">
        <w:rPr>
          <w:sz w:val="22"/>
        </w:rPr>
        <w:t>-II/2014</w:t>
      </w:r>
    </w:p>
    <w:p w:rsidR="00C16B7F" w:rsidRDefault="007B18A2" w:rsidP="00086A58">
      <w:pPr>
        <w:ind w:firstLine="720"/>
        <w:rPr>
          <w:sz w:val="22"/>
        </w:rPr>
      </w:pPr>
      <w:r>
        <w:rPr>
          <w:sz w:val="22"/>
          <w:lang w:val="id-ID"/>
        </w:rPr>
        <w:lastRenderedPageBreak/>
        <w:t>new</w:t>
      </w:r>
      <w:r w:rsidR="00DF1F7B">
        <w:rPr>
          <w:sz w:val="22"/>
        </w:rPr>
        <w:t xml:space="preserve"> </w:t>
      </w:r>
      <w:r w:rsidR="00C16B7F">
        <w:rPr>
          <w:sz w:val="22"/>
        </w:rPr>
        <w:t xml:space="preserve">= </w:t>
      </w:r>
      <w:r w:rsidR="00086A58">
        <w:rPr>
          <w:sz w:val="22"/>
        </w:rPr>
        <w:t xml:space="preserve">according </w:t>
      </w:r>
      <w:proofErr w:type="spellStart"/>
      <w:r w:rsidR="00086A58">
        <w:rPr>
          <w:sz w:val="22"/>
        </w:rPr>
        <w:t>to</w:t>
      </w:r>
      <w:r w:rsidR="00DF1F7B">
        <w:rPr>
          <w:sz w:val="22"/>
        </w:rPr>
        <w:t>PermenLHK</w:t>
      </w:r>
      <w:proofErr w:type="spellEnd"/>
      <w:r w:rsidR="00DF1F7B">
        <w:rPr>
          <w:sz w:val="22"/>
        </w:rPr>
        <w:t xml:space="preserve"> P.83/3016</w:t>
      </w:r>
    </w:p>
    <w:p w:rsidR="003E2CDA" w:rsidRDefault="003E2CDA" w:rsidP="003E2CDA">
      <w:pPr>
        <w:tabs>
          <w:tab w:val="num" w:pos="720"/>
        </w:tabs>
        <w:rPr>
          <w:szCs w:val="24"/>
        </w:rPr>
      </w:pPr>
      <w:r w:rsidRPr="009A1A89">
        <w:rPr>
          <w:szCs w:val="24"/>
        </w:rPr>
        <w:t>One of the supporting factors for social forestry management in this region is the active contribution of external actors gathered in the members of the Working Group on the Acceleration of Social Forestry (</w:t>
      </w:r>
      <w:proofErr w:type="spellStart"/>
      <w:r w:rsidRPr="009A1A89">
        <w:rPr>
          <w:szCs w:val="24"/>
        </w:rPr>
        <w:t>Pokja</w:t>
      </w:r>
      <w:proofErr w:type="spellEnd"/>
      <w:r w:rsidRPr="009A1A89">
        <w:rPr>
          <w:szCs w:val="24"/>
        </w:rPr>
        <w:t xml:space="preserve"> PPS). </w:t>
      </w:r>
      <w:proofErr w:type="gramStart"/>
      <w:r w:rsidRPr="009A1A89">
        <w:rPr>
          <w:szCs w:val="24"/>
        </w:rPr>
        <w:t xml:space="preserve">The formation of the PPS Working Group which refers to </w:t>
      </w:r>
      <w:proofErr w:type="spellStart"/>
      <w:r w:rsidRPr="009A1A89">
        <w:rPr>
          <w:szCs w:val="24"/>
        </w:rPr>
        <w:t>Perdirjen</w:t>
      </w:r>
      <w:proofErr w:type="spellEnd"/>
      <w:r w:rsidRPr="009A1A89">
        <w:rPr>
          <w:szCs w:val="24"/>
        </w:rPr>
        <w:t xml:space="preserve"> PSKL No.</w:t>
      </w:r>
      <w:proofErr w:type="gramEnd"/>
      <w:r w:rsidRPr="009A1A89">
        <w:rPr>
          <w:szCs w:val="24"/>
        </w:rPr>
        <w:t xml:space="preserve"> P14./PSKL/Set/PSL.0/11/2016 Regarding Guidelines for Facilitation, Formation and Procedures for Working Group on the Acceleration of Social Forestry (</w:t>
      </w:r>
      <w:proofErr w:type="spellStart"/>
      <w:r w:rsidRPr="009A1A89">
        <w:rPr>
          <w:szCs w:val="24"/>
        </w:rPr>
        <w:t>Pokja</w:t>
      </w:r>
      <w:proofErr w:type="spellEnd"/>
      <w:r w:rsidRPr="009A1A89">
        <w:rPr>
          <w:szCs w:val="24"/>
        </w:rPr>
        <w:t xml:space="preserve"> PPS) and described in the Governor of South Sumatra Regulation No. 58 of 2018 concerning the Implementation of Social Forestry, a PPS Working Group was formed in South Sumatra based on the Decree of the Governor of South Sumatra No. 154 / KPTS / </w:t>
      </w:r>
      <w:proofErr w:type="spellStart"/>
      <w:r w:rsidRPr="009A1A89">
        <w:rPr>
          <w:szCs w:val="24"/>
        </w:rPr>
        <w:t>Dishut</w:t>
      </w:r>
      <w:proofErr w:type="spellEnd"/>
      <w:r w:rsidRPr="009A1A89">
        <w:rPr>
          <w:szCs w:val="24"/>
        </w:rPr>
        <w:t xml:space="preserve"> / 2017 concerning the Establishment of the Working Group for the Acceleration of Social Forestry of South Sumatra Province in 2017-2020.</w:t>
      </w:r>
    </w:p>
    <w:p w:rsidR="00C16B7F" w:rsidRDefault="00C16B7F" w:rsidP="009B03E5">
      <w:pPr>
        <w:pStyle w:val="JudulGambar"/>
        <w:spacing w:line="240" w:lineRule="auto"/>
        <w:rPr>
          <w:szCs w:val="24"/>
        </w:rPr>
      </w:pPr>
      <w:r>
        <w:t>Tab</w:t>
      </w:r>
      <w:r w:rsidR="00214565">
        <w:rPr>
          <w:lang w:val="en-US"/>
        </w:rPr>
        <w:t>le 6</w:t>
      </w:r>
      <w:r>
        <w:t xml:space="preserve">. </w:t>
      </w:r>
      <w:r w:rsidR="00214565" w:rsidRPr="00214565">
        <w:t xml:space="preserve">Number of forestry </w:t>
      </w:r>
      <w:r w:rsidR="009B03E5">
        <w:rPr>
          <w:lang w:val="en-US"/>
        </w:rPr>
        <w:t>extensions</w:t>
      </w:r>
      <w:r w:rsidR="00214565" w:rsidRPr="00214565">
        <w:t xml:space="preserve"> and forest farmer groups </w:t>
      </w:r>
      <w:r w:rsidR="009B03E5">
        <w:rPr>
          <w:lang w:val="en-US"/>
        </w:rPr>
        <w:t xml:space="preserve">(KTH) </w:t>
      </w:r>
      <w:r w:rsidR="00214565" w:rsidRPr="00214565">
        <w:t>as well as forest area and KPH management area in South Sumatra 2017</w:t>
      </w:r>
    </w:p>
    <w:tbl>
      <w:tblPr>
        <w:tblpPr w:leftFromText="180" w:rightFromText="180" w:vertAnchor="text" w:tblpY="151"/>
        <w:tblW w:w="8391" w:type="dxa"/>
        <w:tblLook w:val="04A0"/>
      </w:tblPr>
      <w:tblGrid>
        <w:gridCol w:w="453"/>
        <w:gridCol w:w="1868"/>
        <w:gridCol w:w="1081"/>
        <w:gridCol w:w="993"/>
        <w:gridCol w:w="935"/>
        <w:gridCol w:w="1393"/>
        <w:gridCol w:w="1357"/>
        <w:gridCol w:w="311"/>
      </w:tblGrid>
      <w:tr w:rsidR="00C16B7F" w:rsidTr="009B03E5">
        <w:trPr>
          <w:trHeight w:val="422"/>
        </w:trPr>
        <w:tc>
          <w:tcPr>
            <w:tcW w:w="453" w:type="dxa"/>
            <w:tcBorders>
              <w:top w:val="single" w:sz="4" w:space="0" w:color="auto"/>
              <w:left w:val="nil"/>
              <w:bottom w:val="single" w:sz="4" w:space="0" w:color="auto"/>
              <w:right w:val="nil"/>
            </w:tcBorders>
            <w:shd w:val="clear" w:color="auto" w:fill="D9D9D9"/>
            <w:noWrap/>
            <w:vAlign w:val="center"/>
            <w:hideMark/>
          </w:tcPr>
          <w:p w:rsidR="00C16B7F" w:rsidRDefault="00C16B7F">
            <w:pPr>
              <w:widowControl/>
              <w:ind w:left="-105" w:right="-81"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No</w:t>
            </w:r>
          </w:p>
        </w:tc>
        <w:tc>
          <w:tcPr>
            <w:tcW w:w="1868" w:type="dxa"/>
            <w:tcBorders>
              <w:top w:val="single" w:sz="4" w:space="0" w:color="auto"/>
              <w:left w:val="nil"/>
              <w:bottom w:val="single" w:sz="4" w:space="0" w:color="auto"/>
              <w:right w:val="nil"/>
            </w:tcBorders>
            <w:shd w:val="clear" w:color="auto" w:fill="D9D9D9"/>
            <w:noWrap/>
            <w:vAlign w:val="center"/>
            <w:hideMark/>
          </w:tcPr>
          <w:p w:rsidR="00C16B7F" w:rsidRPr="009B03E5" w:rsidRDefault="009B03E5">
            <w:pPr>
              <w:widowControl/>
              <w:ind w:left="-105" w:right="-81" w:firstLine="0"/>
              <w:jc w:val="center"/>
              <w:rPr>
                <w:rFonts w:eastAsia="Times New Roman" w:cs="Times New Roman"/>
                <w:b/>
                <w:bCs/>
                <w:color w:val="000000"/>
                <w:kern w:val="0"/>
                <w:sz w:val="20"/>
                <w:szCs w:val="20"/>
                <w:lang w:eastAsia="zh-CN"/>
              </w:rPr>
            </w:pPr>
            <w:r>
              <w:rPr>
                <w:rFonts w:eastAsia="Times New Roman" w:cs="Times New Roman"/>
                <w:b/>
                <w:bCs/>
                <w:color w:val="000000"/>
                <w:kern w:val="0"/>
                <w:sz w:val="20"/>
                <w:szCs w:val="20"/>
                <w:lang w:eastAsia="zh-CN"/>
              </w:rPr>
              <w:t>Districts</w:t>
            </w:r>
          </w:p>
        </w:tc>
        <w:tc>
          <w:tcPr>
            <w:tcW w:w="1081" w:type="dxa"/>
            <w:tcBorders>
              <w:top w:val="single" w:sz="4" w:space="0" w:color="auto"/>
              <w:left w:val="nil"/>
              <w:bottom w:val="single" w:sz="4" w:space="0" w:color="auto"/>
              <w:right w:val="nil"/>
            </w:tcBorders>
            <w:shd w:val="clear" w:color="auto" w:fill="D9D9D9"/>
            <w:vAlign w:val="center"/>
            <w:hideMark/>
          </w:tcPr>
          <w:p w:rsidR="00C16B7F" w:rsidRDefault="009B03E5">
            <w:pPr>
              <w:widowControl/>
              <w:ind w:left="-105" w:right="-81"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eastAsia="zh-CN"/>
              </w:rPr>
              <w:t>Number of extensions</w:t>
            </w:r>
            <w:r w:rsidR="00C16B7F">
              <w:rPr>
                <w:rFonts w:eastAsia="Times New Roman" w:cs="Times New Roman"/>
                <w:b/>
                <w:bCs/>
                <w:color w:val="000000"/>
                <w:kern w:val="0"/>
                <w:sz w:val="20"/>
                <w:szCs w:val="20"/>
                <w:lang w:val="id-ID" w:eastAsia="zh-CN"/>
              </w:rPr>
              <w:t xml:space="preserve"> (</w:t>
            </w:r>
            <w:r>
              <w:rPr>
                <w:rFonts w:eastAsia="Times New Roman" w:cs="Times New Roman"/>
                <w:b/>
                <w:bCs/>
                <w:color w:val="000000"/>
                <w:kern w:val="0"/>
                <w:sz w:val="20"/>
                <w:szCs w:val="20"/>
                <w:lang w:eastAsia="zh-CN"/>
              </w:rPr>
              <w:t>people</w:t>
            </w:r>
            <w:r w:rsidR="00C16B7F">
              <w:rPr>
                <w:rFonts w:eastAsia="Times New Roman" w:cs="Times New Roman"/>
                <w:b/>
                <w:bCs/>
                <w:color w:val="000000"/>
                <w:kern w:val="0"/>
                <w:sz w:val="20"/>
                <w:szCs w:val="20"/>
                <w:lang w:val="id-ID" w:eastAsia="zh-CN"/>
              </w:rPr>
              <w:t>)</w:t>
            </w:r>
          </w:p>
        </w:tc>
        <w:tc>
          <w:tcPr>
            <w:tcW w:w="993" w:type="dxa"/>
            <w:tcBorders>
              <w:top w:val="single" w:sz="4" w:space="0" w:color="auto"/>
              <w:left w:val="nil"/>
              <w:bottom w:val="single" w:sz="4" w:space="0" w:color="auto"/>
              <w:right w:val="nil"/>
            </w:tcBorders>
            <w:shd w:val="clear" w:color="auto" w:fill="D9D9D9"/>
            <w:vAlign w:val="center"/>
            <w:hideMark/>
          </w:tcPr>
          <w:p w:rsidR="00C16B7F" w:rsidRPr="009B03E5" w:rsidRDefault="009B03E5">
            <w:pPr>
              <w:widowControl/>
              <w:ind w:left="-105" w:right="-81" w:firstLine="0"/>
              <w:jc w:val="center"/>
              <w:rPr>
                <w:rFonts w:eastAsia="Times New Roman" w:cs="Times New Roman"/>
                <w:b/>
                <w:bCs/>
                <w:color w:val="000000"/>
                <w:kern w:val="0"/>
                <w:sz w:val="20"/>
                <w:szCs w:val="20"/>
                <w:lang w:eastAsia="zh-CN"/>
              </w:rPr>
            </w:pPr>
            <w:r>
              <w:rPr>
                <w:rFonts w:eastAsia="Times New Roman" w:cs="Times New Roman"/>
                <w:b/>
                <w:bCs/>
                <w:color w:val="000000"/>
                <w:kern w:val="0"/>
                <w:sz w:val="20"/>
                <w:szCs w:val="20"/>
                <w:lang w:eastAsia="zh-CN"/>
              </w:rPr>
              <w:t>Number of KTH</w:t>
            </w:r>
          </w:p>
        </w:tc>
        <w:tc>
          <w:tcPr>
            <w:tcW w:w="935" w:type="dxa"/>
            <w:tcBorders>
              <w:top w:val="single" w:sz="4" w:space="0" w:color="auto"/>
              <w:left w:val="nil"/>
              <w:bottom w:val="single" w:sz="4" w:space="0" w:color="auto"/>
              <w:right w:val="nil"/>
            </w:tcBorders>
            <w:shd w:val="clear" w:color="auto" w:fill="D9D9D9"/>
            <w:vAlign w:val="center"/>
            <w:hideMark/>
          </w:tcPr>
          <w:p w:rsidR="00C16B7F" w:rsidRDefault="009B03E5">
            <w:pPr>
              <w:widowControl/>
              <w:ind w:left="-105" w:right="-81"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eastAsia="zh-CN"/>
              </w:rPr>
              <w:t>Member of KTH</w:t>
            </w:r>
            <w:r w:rsidR="00C16B7F">
              <w:rPr>
                <w:rFonts w:eastAsia="Times New Roman" w:cs="Times New Roman"/>
                <w:b/>
                <w:bCs/>
                <w:color w:val="000000"/>
                <w:kern w:val="0"/>
                <w:sz w:val="20"/>
                <w:szCs w:val="20"/>
                <w:lang w:val="id-ID" w:eastAsia="zh-CN"/>
              </w:rPr>
              <w:t xml:space="preserve"> (orang)</w:t>
            </w:r>
          </w:p>
        </w:tc>
        <w:tc>
          <w:tcPr>
            <w:tcW w:w="1393" w:type="dxa"/>
            <w:tcBorders>
              <w:top w:val="single" w:sz="4" w:space="0" w:color="auto"/>
              <w:left w:val="nil"/>
              <w:bottom w:val="single" w:sz="4" w:space="0" w:color="auto"/>
              <w:right w:val="nil"/>
            </w:tcBorders>
            <w:shd w:val="clear" w:color="auto" w:fill="D9D9D9"/>
            <w:vAlign w:val="center"/>
            <w:hideMark/>
          </w:tcPr>
          <w:p w:rsidR="00C16B7F" w:rsidRPr="009B03E5" w:rsidRDefault="009B03E5">
            <w:pPr>
              <w:widowControl/>
              <w:ind w:left="-105" w:right="-81" w:firstLine="0"/>
              <w:jc w:val="center"/>
              <w:rPr>
                <w:rFonts w:eastAsia="Times New Roman" w:cs="Times New Roman"/>
                <w:b/>
                <w:bCs/>
                <w:color w:val="000000"/>
                <w:kern w:val="0"/>
                <w:sz w:val="20"/>
                <w:szCs w:val="20"/>
                <w:lang w:eastAsia="zh-CN"/>
              </w:rPr>
            </w:pPr>
            <w:r>
              <w:rPr>
                <w:rFonts w:eastAsia="Times New Roman" w:cs="Times New Roman"/>
                <w:b/>
                <w:bCs/>
                <w:color w:val="000000"/>
                <w:kern w:val="0"/>
                <w:sz w:val="20"/>
                <w:szCs w:val="20"/>
                <w:lang w:eastAsia="zh-CN"/>
              </w:rPr>
              <w:t>Forest Area</w:t>
            </w:r>
          </w:p>
        </w:tc>
        <w:tc>
          <w:tcPr>
            <w:tcW w:w="1357" w:type="dxa"/>
            <w:tcBorders>
              <w:top w:val="single" w:sz="4" w:space="0" w:color="auto"/>
              <w:left w:val="nil"/>
              <w:bottom w:val="single" w:sz="4" w:space="0" w:color="auto"/>
              <w:right w:val="nil"/>
            </w:tcBorders>
            <w:shd w:val="clear" w:color="auto" w:fill="D9D9D9"/>
            <w:vAlign w:val="center"/>
            <w:hideMark/>
          </w:tcPr>
          <w:p w:rsidR="00C16B7F" w:rsidRPr="009B03E5" w:rsidRDefault="009B03E5">
            <w:pPr>
              <w:widowControl/>
              <w:ind w:left="-105" w:right="-81" w:firstLine="0"/>
              <w:jc w:val="center"/>
              <w:rPr>
                <w:rFonts w:eastAsia="Times New Roman" w:cs="Times New Roman"/>
                <w:b/>
                <w:bCs/>
                <w:color w:val="000000"/>
                <w:kern w:val="0"/>
                <w:sz w:val="20"/>
                <w:szCs w:val="20"/>
                <w:lang w:eastAsia="zh-CN"/>
              </w:rPr>
            </w:pPr>
            <w:r>
              <w:rPr>
                <w:rFonts w:eastAsia="Times New Roman" w:cs="Times New Roman"/>
                <w:b/>
                <w:bCs/>
                <w:color w:val="000000"/>
                <w:kern w:val="0"/>
                <w:sz w:val="20"/>
                <w:szCs w:val="20"/>
                <w:lang w:eastAsia="zh-CN"/>
              </w:rPr>
              <w:t>KPH management area</w:t>
            </w:r>
          </w:p>
        </w:tc>
        <w:tc>
          <w:tcPr>
            <w:tcW w:w="311" w:type="dxa"/>
            <w:tcBorders>
              <w:top w:val="single" w:sz="4" w:space="0" w:color="auto"/>
              <w:left w:val="nil"/>
              <w:bottom w:val="single" w:sz="4" w:space="0" w:color="auto"/>
              <w:right w:val="nil"/>
            </w:tcBorders>
            <w:shd w:val="clear" w:color="auto" w:fill="D9D9D9"/>
            <w:noWrap/>
            <w:vAlign w:val="bottom"/>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r>
      <w:tr w:rsidR="00C16B7F" w:rsidTr="009B03E5">
        <w:trPr>
          <w:trHeight w:val="70"/>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Banyuasin</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25</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506,464.72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155,038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Empat Lawang</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9</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234</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76,538.02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Lahat</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9</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22</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439</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132,723.37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 </w:t>
            </w:r>
          </w:p>
        </w:tc>
        <w:tc>
          <w:tcPr>
            <w:tcW w:w="311"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w:t>
            </w: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Muara Enim</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15</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64</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1,600</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265,345.92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73,966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Musi Banyuasin</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121</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3,025</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639,903.18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496,140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6</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Musi Rawas</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11</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67</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1,675</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273,038.50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66,261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7</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Musi Rawas Utara</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320,244.11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113,197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8</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Ogan Ilir</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55</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114.73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9</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Ogan Komering Ilir</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789,783.14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763,169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10</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Ogan Komering Ulu</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25</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520</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141,915.08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93,633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11</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OKU Selatan</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56</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1,327</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201,422.74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139,549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12</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OKU Timur</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19,481.11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13</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PALI</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27</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691</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23,668.76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14</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Lubuk Linggau</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17</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528</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6,378.69 </w:t>
            </w:r>
          </w:p>
        </w:tc>
        <w:tc>
          <w:tcPr>
            <w:tcW w:w="1357" w:type="dxa"/>
            <w:noWrap/>
            <w:vAlign w:val="center"/>
            <w:hideMark/>
          </w:tcPr>
          <w:p w:rsidR="00C16B7F" w:rsidRDefault="00C16B7F">
            <w:pPr>
              <w:rPr>
                <w:rFonts w:eastAsia="Times New Roman" w:cs="Times New Roman"/>
                <w:color w:val="000000"/>
                <w:kern w:val="0"/>
                <w:sz w:val="20"/>
                <w:szCs w:val="20"/>
                <w:lang w:val="id-ID" w:eastAsia="zh-CN"/>
              </w:rPr>
            </w:pPr>
          </w:p>
        </w:tc>
        <w:tc>
          <w:tcPr>
            <w:tcW w:w="311" w:type="dxa"/>
            <w:noWrap/>
            <w:vAlign w:val="center"/>
            <w:hideMark/>
          </w:tcPr>
          <w:p w:rsidR="00C16B7F" w:rsidRDefault="00C16B7F">
            <w:pPr>
              <w:widowControl/>
              <w:snapToGrid/>
              <w:ind w:firstLine="0"/>
              <w:jc w:val="left"/>
              <w:rPr>
                <w:rFonts w:asciiTheme="minorHAnsi" w:hAnsiTheme="minorHAnsi"/>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15</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Pagaralam</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3</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2</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50</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26,078.49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24,618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16</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Palembang</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50.33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 </w:t>
            </w:r>
          </w:p>
        </w:tc>
        <w:tc>
          <w:tcPr>
            <w:tcW w:w="311" w:type="dxa"/>
            <w:noWrap/>
            <w:vAlign w:val="center"/>
            <w:hideMark/>
          </w:tcPr>
          <w:p w:rsidR="00C16B7F" w:rsidRDefault="00C16B7F">
            <w:pPr>
              <w:rPr>
                <w:rFonts w:eastAsia="Times New Roman" w:cs="Times New Roman"/>
                <w:color w:val="000000"/>
                <w:kern w:val="0"/>
                <w:sz w:val="20"/>
                <w:szCs w:val="20"/>
                <w:lang w:val="id-ID" w:eastAsia="zh-CN"/>
              </w:rPr>
            </w:pPr>
          </w:p>
        </w:tc>
      </w:tr>
      <w:tr w:rsidR="00C16B7F" w:rsidTr="009B03E5">
        <w:trPr>
          <w:trHeight w:val="255"/>
        </w:trPr>
        <w:tc>
          <w:tcPr>
            <w:tcW w:w="45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17</w:t>
            </w:r>
          </w:p>
        </w:tc>
        <w:tc>
          <w:tcPr>
            <w:tcW w:w="1868"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Prabumulih</w:t>
            </w:r>
          </w:p>
        </w:tc>
        <w:tc>
          <w:tcPr>
            <w:tcW w:w="1081"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0</w:t>
            </w:r>
          </w:p>
        </w:tc>
        <w:tc>
          <w:tcPr>
            <w:tcW w:w="993" w:type="dxa"/>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11</w:t>
            </w:r>
          </w:p>
        </w:tc>
        <w:tc>
          <w:tcPr>
            <w:tcW w:w="935" w:type="dxa"/>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174</w:t>
            </w:r>
          </w:p>
        </w:tc>
        <w:tc>
          <w:tcPr>
            <w:tcW w:w="1393" w:type="dxa"/>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1,069.14 </w:t>
            </w:r>
          </w:p>
        </w:tc>
        <w:tc>
          <w:tcPr>
            <w:tcW w:w="1357" w:type="dxa"/>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445,483 </w:t>
            </w:r>
          </w:p>
        </w:tc>
        <w:tc>
          <w:tcPr>
            <w:tcW w:w="311" w:type="dxa"/>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w:t>
            </w:r>
          </w:p>
        </w:tc>
      </w:tr>
      <w:tr w:rsidR="00C16B7F" w:rsidTr="009B03E5">
        <w:trPr>
          <w:trHeight w:val="255"/>
        </w:trPr>
        <w:tc>
          <w:tcPr>
            <w:tcW w:w="453" w:type="dxa"/>
            <w:tcBorders>
              <w:top w:val="single" w:sz="4" w:space="0" w:color="auto"/>
              <w:left w:val="nil"/>
              <w:bottom w:val="single" w:sz="4" w:space="0" w:color="auto"/>
              <w:right w:val="nil"/>
            </w:tcBorders>
            <w:noWrap/>
            <w:vAlign w:val="bottom"/>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c>
          <w:tcPr>
            <w:tcW w:w="1868" w:type="dxa"/>
            <w:tcBorders>
              <w:top w:val="single" w:sz="4" w:space="0" w:color="auto"/>
              <w:left w:val="nil"/>
              <w:bottom w:val="single" w:sz="4" w:space="0" w:color="auto"/>
              <w:right w:val="nil"/>
            </w:tcBorders>
            <w:noWrap/>
            <w:vAlign w:val="center"/>
            <w:hideMark/>
          </w:tcPr>
          <w:p w:rsidR="00C16B7F" w:rsidRDefault="00C16B7F">
            <w:pPr>
              <w:widowControl/>
              <w:ind w:left="-105" w:right="-81" w:firstLine="0"/>
              <w:jc w:val="center"/>
              <w:rPr>
                <w:rFonts w:eastAsia="Times New Roman" w:cs="Times New Roman"/>
                <w:b/>
                <w:bCs/>
                <w:color w:val="000000"/>
                <w:kern w:val="0"/>
                <w:sz w:val="20"/>
                <w:szCs w:val="20"/>
                <w:lang w:val="id-ID" w:eastAsia="zh-CN"/>
              </w:rPr>
            </w:pPr>
            <w:r>
              <w:rPr>
                <w:rFonts w:eastAsia="Times New Roman" w:cs="Times New Roman"/>
                <w:b/>
                <w:bCs/>
                <w:color w:val="000000"/>
                <w:kern w:val="0"/>
                <w:sz w:val="20"/>
                <w:szCs w:val="20"/>
                <w:lang w:val="id-ID" w:eastAsia="zh-CN"/>
              </w:rPr>
              <w:t>Total</w:t>
            </w:r>
          </w:p>
        </w:tc>
        <w:tc>
          <w:tcPr>
            <w:tcW w:w="1081" w:type="dxa"/>
            <w:tcBorders>
              <w:top w:val="single" w:sz="4" w:space="0" w:color="auto"/>
              <w:left w:val="nil"/>
              <w:bottom w:val="single" w:sz="4" w:space="0" w:color="auto"/>
              <w:right w:val="nil"/>
            </w:tcBorders>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57</w:t>
            </w:r>
          </w:p>
        </w:tc>
        <w:tc>
          <w:tcPr>
            <w:tcW w:w="993" w:type="dxa"/>
            <w:tcBorders>
              <w:top w:val="single" w:sz="4" w:space="0" w:color="auto"/>
              <w:left w:val="nil"/>
              <w:bottom w:val="single" w:sz="4" w:space="0" w:color="auto"/>
              <w:right w:val="nil"/>
            </w:tcBorders>
            <w:noWrap/>
            <w:vAlign w:val="center"/>
            <w:hideMark/>
          </w:tcPr>
          <w:p w:rsidR="00C16B7F" w:rsidRDefault="00C16B7F">
            <w:pPr>
              <w:widowControl/>
              <w:ind w:left="-105" w:right="-81"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424</w:t>
            </w:r>
          </w:p>
        </w:tc>
        <w:tc>
          <w:tcPr>
            <w:tcW w:w="935" w:type="dxa"/>
            <w:tcBorders>
              <w:top w:val="single" w:sz="4" w:space="0" w:color="auto"/>
              <w:left w:val="nil"/>
              <w:bottom w:val="single" w:sz="4" w:space="0" w:color="auto"/>
              <w:right w:val="nil"/>
            </w:tcBorders>
            <w:noWrap/>
            <w:vAlign w:val="center"/>
            <w:hideMark/>
          </w:tcPr>
          <w:p w:rsidR="00C16B7F" w:rsidRDefault="00C16B7F">
            <w:pPr>
              <w:widowControl/>
              <w:ind w:left="-731" w:right="-675" w:firstLine="0"/>
              <w:jc w:val="center"/>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10,343</w:t>
            </w:r>
          </w:p>
        </w:tc>
        <w:tc>
          <w:tcPr>
            <w:tcW w:w="1393" w:type="dxa"/>
            <w:tcBorders>
              <w:top w:val="single" w:sz="4" w:space="0" w:color="auto"/>
              <w:left w:val="nil"/>
              <w:bottom w:val="single" w:sz="4" w:space="0" w:color="auto"/>
              <w:right w:val="nil"/>
            </w:tcBorders>
            <w:noWrap/>
            <w:vAlign w:val="center"/>
            <w:hideMark/>
          </w:tcPr>
          <w:p w:rsidR="00C16B7F" w:rsidRDefault="00C16B7F">
            <w:pPr>
              <w:widowControl/>
              <w:ind w:left="-810"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3,424,220 </w:t>
            </w:r>
          </w:p>
        </w:tc>
        <w:tc>
          <w:tcPr>
            <w:tcW w:w="1357" w:type="dxa"/>
            <w:tcBorders>
              <w:top w:val="single" w:sz="4" w:space="0" w:color="auto"/>
              <w:left w:val="nil"/>
              <w:bottom w:val="single" w:sz="4" w:space="0" w:color="auto"/>
              <w:right w:val="nil"/>
            </w:tcBorders>
            <w:noWrap/>
            <w:vAlign w:val="center"/>
            <w:hideMark/>
          </w:tcPr>
          <w:p w:rsidR="00C16B7F" w:rsidRDefault="00C16B7F">
            <w:pPr>
              <w:widowControl/>
              <w:ind w:left="-646" w:right="-81" w:firstLine="0"/>
              <w:jc w:val="righ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xml:space="preserve">    2,371,054 </w:t>
            </w:r>
          </w:p>
        </w:tc>
        <w:tc>
          <w:tcPr>
            <w:tcW w:w="311" w:type="dxa"/>
            <w:tcBorders>
              <w:top w:val="single" w:sz="4" w:space="0" w:color="auto"/>
              <w:left w:val="nil"/>
              <w:bottom w:val="single" w:sz="4" w:space="0" w:color="auto"/>
              <w:right w:val="nil"/>
            </w:tcBorders>
            <w:noWrap/>
            <w:vAlign w:val="center"/>
            <w:hideMark/>
          </w:tcPr>
          <w:p w:rsidR="00C16B7F" w:rsidRDefault="00C16B7F">
            <w:pPr>
              <w:widowControl/>
              <w:ind w:left="-105" w:right="-81" w:firstLine="0"/>
              <w:jc w:val="left"/>
              <w:rPr>
                <w:rFonts w:eastAsia="Times New Roman" w:cs="Times New Roman"/>
                <w:color w:val="000000"/>
                <w:kern w:val="0"/>
                <w:sz w:val="20"/>
                <w:szCs w:val="20"/>
                <w:lang w:val="id-ID" w:eastAsia="zh-CN"/>
              </w:rPr>
            </w:pPr>
            <w:r>
              <w:rPr>
                <w:rFonts w:eastAsia="Times New Roman" w:cs="Times New Roman"/>
                <w:color w:val="000000"/>
                <w:kern w:val="0"/>
                <w:sz w:val="20"/>
                <w:szCs w:val="20"/>
                <w:lang w:val="id-ID" w:eastAsia="zh-CN"/>
              </w:rPr>
              <w:t> </w:t>
            </w:r>
          </w:p>
        </w:tc>
      </w:tr>
    </w:tbl>
    <w:p w:rsidR="00C16B7F" w:rsidRDefault="00C16B7F" w:rsidP="00C16B7F">
      <w:pPr>
        <w:ind w:firstLine="0"/>
        <w:rPr>
          <w:szCs w:val="24"/>
        </w:rPr>
      </w:pPr>
      <w:proofErr w:type="spellStart"/>
      <w:r>
        <w:rPr>
          <w:szCs w:val="24"/>
        </w:rPr>
        <w:t>S</w:t>
      </w:r>
      <w:r w:rsidR="00BA157F">
        <w:rPr>
          <w:szCs w:val="24"/>
        </w:rPr>
        <w:t>ource</w:t>
      </w:r>
      <w:proofErr w:type="gramStart"/>
      <w:r w:rsidR="00BA157F">
        <w:rPr>
          <w:szCs w:val="24"/>
        </w:rPr>
        <w:t>:</w:t>
      </w:r>
      <w:r w:rsidR="00947DA0">
        <w:rPr>
          <w:szCs w:val="24"/>
        </w:rPr>
        <w:t>South</w:t>
      </w:r>
      <w:proofErr w:type="spellEnd"/>
      <w:proofErr w:type="gramEnd"/>
      <w:r w:rsidR="00947DA0">
        <w:rPr>
          <w:szCs w:val="24"/>
        </w:rPr>
        <w:t xml:space="preserve"> Sumatra Forest Office</w:t>
      </w:r>
    </w:p>
    <w:p w:rsidR="009A1A89" w:rsidRDefault="009A1A89" w:rsidP="00C16B7F">
      <w:pPr>
        <w:tabs>
          <w:tab w:val="num" w:pos="720"/>
        </w:tabs>
        <w:rPr>
          <w:szCs w:val="24"/>
        </w:rPr>
      </w:pPr>
      <w:r w:rsidRPr="009A1A89">
        <w:rPr>
          <w:szCs w:val="24"/>
        </w:rPr>
        <w:t>One of the supporting factors for social forestry management in this region is the active contribution of external actors gathered in the members of the Working Group on the Acceleration of Social Forestry (</w:t>
      </w:r>
      <w:proofErr w:type="spellStart"/>
      <w:r w:rsidRPr="009A1A89">
        <w:rPr>
          <w:szCs w:val="24"/>
        </w:rPr>
        <w:t>Pokja</w:t>
      </w:r>
      <w:proofErr w:type="spellEnd"/>
      <w:r w:rsidRPr="009A1A89">
        <w:rPr>
          <w:szCs w:val="24"/>
        </w:rPr>
        <w:t xml:space="preserve"> PPS). </w:t>
      </w:r>
      <w:proofErr w:type="gramStart"/>
      <w:r w:rsidRPr="009A1A89">
        <w:rPr>
          <w:szCs w:val="24"/>
        </w:rPr>
        <w:t xml:space="preserve">The formation of the PPS Working Group which refers to </w:t>
      </w:r>
      <w:proofErr w:type="spellStart"/>
      <w:r w:rsidRPr="009A1A89">
        <w:rPr>
          <w:szCs w:val="24"/>
        </w:rPr>
        <w:t>Perdirjen</w:t>
      </w:r>
      <w:proofErr w:type="spellEnd"/>
      <w:r w:rsidRPr="009A1A89">
        <w:rPr>
          <w:szCs w:val="24"/>
        </w:rPr>
        <w:t xml:space="preserve"> PSKL No.</w:t>
      </w:r>
      <w:proofErr w:type="gramEnd"/>
      <w:r w:rsidRPr="009A1A89">
        <w:rPr>
          <w:szCs w:val="24"/>
        </w:rPr>
        <w:t xml:space="preserve"> P14./PSKL/Set/PSL.0/11/2016 Regarding Guidelines for Facilitation, Formation and Procedures for Working Group on the Acceleration of Social Forestry (</w:t>
      </w:r>
      <w:proofErr w:type="spellStart"/>
      <w:r w:rsidRPr="009A1A89">
        <w:rPr>
          <w:szCs w:val="24"/>
        </w:rPr>
        <w:t>Pokja</w:t>
      </w:r>
      <w:proofErr w:type="spellEnd"/>
      <w:r w:rsidRPr="009A1A89">
        <w:rPr>
          <w:szCs w:val="24"/>
        </w:rPr>
        <w:t xml:space="preserve"> PPS) and described in the Governor of South Sumatra Regulation No. 58 of 2018 concerning the Implementation of Social Forestry, a PPS Working Group was formed in South Sumatra based on the Decree of the Governor of South Sumatra No. 154 / KPTS / </w:t>
      </w:r>
      <w:proofErr w:type="spellStart"/>
      <w:r w:rsidRPr="009A1A89">
        <w:rPr>
          <w:szCs w:val="24"/>
        </w:rPr>
        <w:t>Dishut</w:t>
      </w:r>
      <w:proofErr w:type="spellEnd"/>
      <w:r w:rsidRPr="009A1A89">
        <w:rPr>
          <w:szCs w:val="24"/>
        </w:rPr>
        <w:t xml:space="preserve"> / 2017 concerning the Establishment of the Working Group for the Acceleration of Social Forestry of South Sumatra Province in 2017-2020.</w:t>
      </w:r>
    </w:p>
    <w:p w:rsidR="009A1A89" w:rsidRDefault="009A1A89" w:rsidP="00C16B7F">
      <w:pPr>
        <w:tabs>
          <w:tab w:val="num" w:pos="720"/>
        </w:tabs>
      </w:pPr>
      <w:r w:rsidRPr="009A1A89">
        <w:t xml:space="preserve">The implementation of social forestry policies is not necessarily detached from the clear rules that overshadow this policy as supporting resources. This technical rule will provide clarity of authority, responsibilities and main tasks as well as the functions </w:t>
      </w:r>
      <w:r w:rsidRPr="009A1A89">
        <w:lastRenderedPageBreak/>
        <w:t xml:space="preserve">of the institutions involved. Clarity of the rules of the game is one of the differences with social forestry rules before 2016 which is considered as one of the causes of failure </w:t>
      </w:r>
      <w:r w:rsidR="00B40461">
        <w:fldChar w:fldCharType="begin" w:fldLock="1"/>
      </w:r>
      <w:r>
        <w:instrText>ADDIN CSL_CITATION {"citationItems":[{"id":"ITEM-1","itemData":{"author":[{"dropping-particle":"","family":"Taufiqurrohman","given":"","non-dropping-particle":"","parse-names":false,"suffix":""}],"id":"ITEM-1","issued":{"date-parts":[["2014"]]},"publisher":"Universitas Gajah Mada","title":"Implementasi Kebijakan Kehutanan Masyarakat (Studi Kasus Hutan Kemasyarakatan di Dusun Kalibiru, Kulon Progo)","type":"thesis"},"uris":["http://www.mendeley.com/documents/?uuid=42f28e35-ea00-4d36-9bdc-b364c208b4b7"]}],"mendeley":{"formattedCitation":"[43]","plainTextFormattedCitation":"[43]","previouslyFormattedCitation":"(Taufiqurrohman, 2014)"},"properties":{"noteIndex":0},"schema":"https://github.com/citation-style-language/schema/raw/master/csl-citation.json"}</w:instrText>
      </w:r>
      <w:r w:rsidR="00B40461">
        <w:fldChar w:fldCharType="separate"/>
      </w:r>
      <w:r w:rsidRPr="00F70037">
        <w:rPr>
          <w:noProof/>
        </w:rPr>
        <w:t>[43]</w:t>
      </w:r>
      <w:r w:rsidR="00B40461">
        <w:fldChar w:fldCharType="end"/>
      </w:r>
      <w:r>
        <w:t xml:space="preserve">. </w:t>
      </w:r>
      <w:r w:rsidRPr="009A1A89">
        <w:t xml:space="preserve">As a follow up to the social forestry policy, several derivative regulations were issued both at the national level, South Sumatra and the rules of the PPS Working Group. This technical rule is important as a resource so that it becomes a reference in implementing social forestry. </w:t>
      </w:r>
      <w:proofErr w:type="gramStart"/>
      <w:r w:rsidRPr="009A1A89">
        <w:t>The technical rules as shown in Table 7.</w:t>
      </w:r>
      <w:proofErr w:type="gramEnd"/>
    </w:p>
    <w:p w:rsidR="00882F74" w:rsidRDefault="00882F74" w:rsidP="00882F74">
      <w:pPr>
        <w:rPr>
          <w:szCs w:val="24"/>
          <w:lang w:val="id-ID"/>
        </w:rPr>
      </w:pPr>
      <w:r w:rsidRPr="00486A80">
        <w:rPr>
          <w:szCs w:val="24"/>
          <w:lang w:val="id-ID"/>
        </w:rPr>
        <w:t xml:space="preserve">The manifestation of the implementation of social forestry policies in the UPTD KPH </w:t>
      </w:r>
      <w:r>
        <w:rPr>
          <w:szCs w:val="24"/>
        </w:rPr>
        <w:t xml:space="preserve">Reg. 1 </w:t>
      </w:r>
      <w:proofErr w:type="spellStart"/>
      <w:r>
        <w:rPr>
          <w:szCs w:val="24"/>
        </w:rPr>
        <w:t>Meranti</w:t>
      </w:r>
      <w:proofErr w:type="spellEnd"/>
      <w:r>
        <w:rPr>
          <w:szCs w:val="24"/>
        </w:rPr>
        <w:t xml:space="preserve"> area</w:t>
      </w:r>
      <w:r w:rsidRPr="00486A80">
        <w:rPr>
          <w:szCs w:val="24"/>
          <w:lang w:val="id-ID"/>
        </w:rPr>
        <w:t>,</w:t>
      </w:r>
      <w:r>
        <w:rPr>
          <w:szCs w:val="24"/>
        </w:rPr>
        <w:t xml:space="preserve"> so </w:t>
      </w:r>
      <w:proofErr w:type="spellStart"/>
      <w:r>
        <w:rPr>
          <w:szCs w:val="24"/>
        </w:rPr>
        <w:t>Hutan</w:t>
      </w:r>
      <w:proofErr w:type="spellEnd"/>
      <w:r>
        <w:rPr>
          <w:szCs w:val="24"/>
        </w:rPr>
        <w:t xml:space="preserve"> Kita Institute</w:t>
      </w:r>
      <w:r w:rsidRPr="00486A80">
        <w:rPr>
          <w:szCs w:val="24"/>
          <w:lang w:val="id-ID"/>
        </w:rPr>
        <w:t xml:space="preserve"> (HaKI) and Lingkar Hijau as part of NGOs and </w:t>
      </w:r>
      <w:proofErr w:type="spellStart"/>
      <w:r>
        <w:rPr>
          <w:szCs w:val="24"/>
        </w:rPr>
        <w:t>Kelola</w:t>
      </w:r>
      <w:proofErr w:type="spellEnd"/>
      <w:r w:rsidRPr="00486A80">
        <w:rPr>
          <w:szCs w:val="24"/>
          <w:lang w:val="id-ID"/>
        </w:rPr>
        <w:t xml:space="preserve"> Sendang Project (ZSL) as part of green development partners also contribute to accelerating forestry implementation social at the site level, both contributions in counseling, socialization, proposals, facilitation of work plan preparation, and funding to encourage economic activities in the social forestry area.</w:t>
      </w:r>
    </w:p>
    <w:p w:rsidR="00C16B7F" w:rsidRPr="009A1A89" w:rsidRDefault="00C16B7F" w:rsidP="006F7E5D">
      <w:pPr>
        <w:pStyle w:val="JudulGambar"/>
        <w:spacing w:line="240" w:lineRule="auto"/>
        <w:rPr>
          <w:sz w:val="24"/>
          <w:lang w:val="en-US"/>
        </w:rPr>
      </w:pPr>
      <w:r w:rsidRPr="009A1A89">
        <w:rPr>
          <w:sz w:val="24"/>
        </w:rPr>
        <w:t>Tab</w:t>
      </w:r>
      <w:r w:rsidR="006F7E5D" w:rsidRPr="009A1A89">
        <w:rPr>
          <w:sz w:val="24"/>
          <w:lang w:val="en-US"/>
        </w:rPr>
        <w:t>le</w:t>
      </w:r>
      <w:r w:rsidR="009A1A89" w:rsidRPr="009A1A89">
        <w:rPr>
          <w:sz w:val="24"/>
          <w:lang w:val="en-US"/>
        </w:rPr>
        <w:t>7</w:t>
      </w:r>
      <w:r w:rsidRPr="009A1A89">
        <w:rPr>
          <w:sz w:val="24"/>
        </w:rPr>
        <w:t xml:space="preserve">. </w:t>
      </w:r>
      <w:r w:rsidR="006F7E5D" w:rsidRPr="009A1A89">
        <w:rPr>
          <w:sz w:val="24"/>
        </w:rPr>
        <w:t xml:space="preserve">List of Rules for Management of Social Forestry at </w:t>
      </w:r>
      <w:r w:rsidR="006F7E5D" w:rsidRPr="009A1A89">
        <w:rPr>
          <w:sz w:val="24"/>
          <w:lang w:val="en-US"/>
        </w:rPr>
        <w:t>South Sumatra</w:t>
      </w:r>
    </w:p>
    <w:tbl>
      <w:tblPr>
        <w:tblStyle w:val="TableGrid"/>
        <w:tblW w:w="8637" w:type="dxa"/>
        <w:tblInd w:w="5" w:type="dxa"/>
        <w:tblBorders>
          <w:left w:val="none" w:sz="0" w:space="0" w:color="auto"/>
          <w:right w:val="none" w:sz="0" w:space="0" w:color="auto"/>
          <w:insideV w:val="none" w:sz="0" w:space="0" w:color="auto"/>
        </w:tblBorders>
        <w:tblLook w:val="04A0"/>
      </w:tblPr>
      <w:tblGrid>
        <w:gridCol w:w="485"/>
        <w:gridCol w:w="2909"/>
        <w:gridCol w:w="5243"/>
      </w:tblGrid>
      <w:tr w:rsidR="004F15FE" w:rsidRPr="004F15FE" w:rsidTr="00780610">
        <w:trPr>
          <w:trHeight w:val="279"/>
        </w:trPr>
        <w:tc>
          <w:tcPr>
            <w:tcW w:w="483" w:type="dxa"/>
            <w:tcBorders>
              <w:bottom w:val="single" w:sz="4" w:space="0" w:color="000000" w:themeColor="text1"/>
            </w:tcBorders>
            <w:shd w:val="clear" w:color="auto" w:fill="D9D9D9" w:themeFill="background1" w:themeFillShade="D9"/>
            <w:hideMark/>
          </w:tcPr>
          <w:p w:rsidR="004F15FE" w:rsidRPr="00780610" w:rsidRDefault="004F15FE" w:rsidP="004F15FE">
            <w:pPr>
              <w:tabs>
                <w:tab w:val="num" w:pos="720"/>
              </w:tabs>
              <w:ind w:firstLine="0"/>
              <w:jc w:val="center"/>
              <w:rPr>
                <w:rFonts w:cs="Times New Roman"/>
                <w:b/>
                <w:lang w:val="id-ID"/>
              </w:rPr>
            </w:pPr>
            <w:r w:rsidRPr="00780610">
              <w:rPr>
                <w:rFonts w:cs="Times New Roman"/>
                <w:b/>
                <w:bCs/>
              </w:rPr>
              <w:t>No</w:t>
            </w:r>
          </w:p>
        </w:tc>
        <w:tc>
          <w:tcPr>
            <w:tcW w:w="2909" w:type="dxa"/>
            <w:tcBorders>
              <w:bottom w:val="single" w:sz="4" w:space="0" w:color="000000" w:themeColor="text1"/>
            </w:tcBorders>
            <w:shd w:val="clear" w:color="auto" w:fill="D9D9D9" w:themeFill="background1" w:themeFillShade="D9"/>
            <w:hideMark/>
          </w:tcPr>
          <w:p w:rsidR="004F15FE" w:rsidRPr="00780610" w:rsidRDefault="00780610" w:rsidP="004F15FE">
            <w:pPr>
              <w:tabs>
                <w:tab w:val="num" w:pos="720"/>
              </w:tabs>
              <w:ind w:firstLine="0"/>
              <w:jc w:val="center"/>
              <w:rPr>
                <w:rFonts w:cs="Times New Roman"/>
                <w:b/>
                <w:lang w:val="id-ID"/>
              </w:rPr>
            </w:pPr>
            <w:r>
              <w:rPr>
                <w:rFonts w:cs="Times New Roman"/>
                <w:b/>
                <w:bCs/>
              </w:rPr>
              <w:t>Rules</w:t>
            </w:r>
          </w:p>
        </w:tc>
        <w:tc>
          <w:tcPr>
            <w:tcW w:w="5245" w:type="dxa"/>
            <w:tcBorders>
              <w:bottom w:val="single" w:sz="4" w:space="0" w:color="000000" w:themeColor="text1"/>
            </w:tcBorders>
            <w:shd w:val="clear" w:color="auto" w:fill="D9D9D9" w:themeFill="background1" w:themeFillShade="D9"/>
            <w:hideMark/>
          </w:tcPr>
          <w:p w:rsidR="004F15FE" w:rsidRPr="00780610" w:rsidRDefault="00780610" w:rsidP="004F15FE">
            <w:pPr>
              <w:tabs>
                <w:tab w:val="num" w:pos="720"/>
              </w:tabs>
              <w:ind w:firstLine="0"/>
              <w:jc w:val="center"/>
              <w:rPr>
                <w:rFonts w:cs="Times New Roman"/>
                <w:b/>
                <w:lang w:val="id-ID"/>
              </w:rPr>
            </w:pPr>
            <w:r>
              <w:rPr>
                <w:rFonts w:cs="Times New Roman"/>
                <w:b/>
                <w:bCs/>
              </w:rPr>
              <w:t>Content</w:t>
            </w:r>
          </w:p>
        </w:tc>
      </w:tr>
      <w:tr w:rsidR="004F15FE" w:rsidRPr="004F15FE" w:rsidTr="00780610">
        <w:trPr>
          <w:trHeight w:val="70"/>
        </w:trPr>
        <w:tc>
          <w:tcPr>
            <w:tcW w:w="483" w:type="dxa"/>
            <w:tcBorders>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w:t>
            </w:r>
          </w:p>
        </w:tc>
        <w:tc>
          <w:tcPr>
            <w:tcW w:w="2909" w:type="dxa"/>
            <w:tcBorders>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 PSKL P.1/2016</w:t>
            </w:r>
          </w:p>
        </w:tc>
        <w:tc>
          <w:tcPr>
            <w:tcW w:w="5245" w:type="dxa"/>
            <w:tcBorders>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Tata Cara Verifikasi dan Validasi Hutan Hak</w:t>
            </w:r>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2</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 PSKL P.3/2016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Pengembangan Usaha Perhutanan Sosial</w:t>
            </w:r>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3</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rPr>
              <w:t>P</w:t>
            </w:r>
            <w:r w:rsidRPr="004F15FE">
              <w:rPr>
                <w:rFonts w:cs="Times New Roman"/>
                <w:sz w:val="20"/>
                <w:lang w:val="id-ID"/>
              </w:rPr>
              <w:t>erdirjen PSKL P.4/2016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w:t>
            </w:r>
            <w:proofErr w:type="spellStart"/>
            <w:r w:rsidRPr="004F15FE">
              <w:rPr>
                <w:rFonts w:cs="Times New Roman"/>
                <w:sz w:val="20"/>
              </w:rPr>
              <w:t>doman</w:t>
            </w:r>
            <w:proofErr w:type="spellEnd"/>
            <w:r w:rsidRPr="004F15FE">
              <w:rPr>
                <w:rFonts w:cs="Times New Roman"/>
                <w:sz w:val="20"/>
                <w:lang w:val="id-ID"/>
              </w:rPr>
              <w:t xml:space="preserve"> Mediasi Penangaan Konflik Kaw</w:t>
            </w:r>
            <w:r w:rsidRPr="004F15FE">
              <w:rPr>
                <w:rFonts w:cs="Times New Roman"/>
                <w:sz w:val="20"/>
              </w:rPr>
              <w:t>.</w:t>
            </w:r>
            <w:r w:rsidRPr="004F15FE">
              <w:rPr>
                <w:rFonts w:cs="Times New Roman"/>
                <w:sz w:val="20"/>
                <w:lang w:val="id-ID"/>
              </w:rPr>
              <w:t xml:space="preserve"> Hutan</w:t>
            </w:r>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4</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 PSKL P.6/2016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Asesmen Konflik Tenurial Kawasan Hutan</w:t>
            </w:r>
          </w:p>
        </w:tc>
      </w:tr>
      <w:tr w:rsidR="004F15FE" w:rsidRPr="004F15FE" w:rsidTr="00780610">
        <w:trPr>
          <w:trHeight w:val="178"/>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5</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 PSKL P.7/2016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Pelayanan Akses Kelola Perhutanan Sosial</w:t>
            </w:r>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6</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 PSKL P.9/2016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Perubahan Perdirjen PSKL P.3/2016</w:t>
            </w:r>
          </w:p>
        </w:tc>
      </w:tr>
      <w:tr w:rsidR="004F15FE" w:rsidRPr="004F15FE" w:rsidTr="00780610">
        <w:trPr>
          <w:trHeight w:val="178"/>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7</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PerdirjenPSKL P.11/2016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Verifikasi Permohonan HPHD</w:t>
            </w:r>
          </w:p>
        </w:tc>
      </w:tr>
      <w:tr w:rsidR="004F15FE" w:rsidRPr="004F15FE" w:rsidTr="00780610">
        <w:trPr>
          <w:trHeight w:val="178"/>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8</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rPr>
              <w:t>P</w:t>
            </w:r>
            <w:r w:rsidRPr="004F15FE">
              <w:rPr>
                <w:rFonts w:cs="Times New Roman"/>
                <w:sz w:val="20"/>
                <w:lang w:val="id-ID"/>
              </w:rPr>
              <w:t>erdirjen PSKLP.12/2016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Verifikasi Permohonan IUPHKm</w:t>
            </w:r>
          </w:p>
        </w:tc>
      </w:tr>
      <w:tr w:rsidR="004F15FE" w:rsidRPr="004F15FE" w:rsidTr="00780610">
        <w:trPr>
          <w:trHeight w:val="99"/>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9</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 PSKLP.13/2016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Verifikasi Permohonan IUPHHK-HTR</w:t>
            </w:r>
          </w:p>
        </w:tc>
      </w:tr>
      <w:tr w:rsidR="004F15FE" w:rsidRPr="004F15FE" w:rsidTr="00780610">
        <w:trPr>
          <w:trHeight w:val="25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10</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proofErr w:type="spellStart"/>
            <w:r w:rsidRPr="004F15FE">
              <w:rPr>
                <w:rFonts w:cs="Times New Roman"/>
                <w:sz w:val="20"/>
              </w:rPr>
              <w:t>Perdirj</w:t>
            </w:r>
            <w:proofErr w:type="spellEnd"/>
            <w:r w:rsidRPr="004F15FE">
              <w:rPr>
                <w:rFonts w:cs="Times New Roman"/>
                <w:sz w:val="20"/>
                <w:lang w:val="id-ID"/>
              </w:rPr>
              <w:t>enPSKLP.14/2106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Fasilitasi, Pembentukan dan Tata Cara Kerja Pokja PPS</w:t>
            </w:r>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11</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PerdirjenPSKLP.18</w:t>
            </w:r>
            <w:r w:rsidRPr="004F15FE">
              <w:rPr>
                <w:rFonts w:cs="Times New Roman"/>
                <w:sz w:val="20"/>
              </w:rPr>
              <w:t>/</w:t>
            </w:r>
            <w:r w:rsidRPr="004F15FE">
              <w:rPr>
                <w:rFonts w:cs="Times New Roman"/>
                <w:sz w:val="20"/>
                <w:lang w:val="id-ID"/>
              </w:rPr>
              <w:t>2016</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lang w:val="id-ID"/>
              </w:rPr>
              <w:t>Pedoman Penyusunan Naskah Kesepakatan Kerjasama</w:t>
            </w:r>
          </w:p>
        </w:tc>
      </w:tr>
      <w:tr w:rsidR="004F15FE" w:rsidRPr="004F15FE" w:rsidTr="00780610">
        <w:trPr>
          <w:trHeight w:val="178"/>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12</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proofErr w:type="spellStart"/>
            <w:r w:rsidRPr="004F15FE">
              <w:rPr>
                <w:rFonts w:cs="Times New Roman"/>
                <w:sz w:val="20"/>
              </w:rPr>
              <w:t>Pergub</w:t>
            </w:r>
            <w:proofErr w:type="spellEnd"/>
            <w:r w:rsidRPr="004F15FE">
              <w:rPr>
                <w:rFonts w:cs="Times New Roman"/>
                <w:sz w:val="20"/>
              </w:rPr>
              <w:t xml:space="preserve"> </w:t>
            </w:r>
            <w:proofErr w:type="spellStart"/>
            <w:r w:rsidRPr="004F15FE">
              <w:rPr>
                <w:rFonts w:cs="Times New Roman"/>
                <w:sz w:val="20"/>
              </w:rPr>
              <w:t>Sumsel</w:t>
            </w:r>
            <w:proofErr w:type="spellEnd"/>
            <w:r w:rsidRPr="004F15FE">
              <w:rPr>
                <w:rFonts w:cs="Times New Roman"/>
                <w:sz w:val="20"/>
              </w:rPr>
              <w:t xml:space="preserve"> 58/2018</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proofErr w:type="spellStart"/>
            <w:r w:rsidRPr="004F15FE">
              <w:rPr>
                <w:rFonts w:cs="Times New Roman"/>
                <w:sz w:val="20"/>
              </w:rPr>
              <w:t>Penyelenggaraan</w:t>
            </w:r>
            <w:proofErr w:type="spellEnd"/>
            <w:r w:rsidRPr="004F15FE">
              <w:rPr>
                <w:rFonts w:cs="Times New Roman"/>
                <w:sz w:val="20"/>
              </w:rPr>
              <w:t xml:space="preserve"> </w:t>
            </w:r>
            <w:proofErr w:type="spellStart"/>
            <w:r w:rsidRPr="004F15FE">
              <w:rPr>
                <w:rFonts w:cs="Times New Roman"/>
                <w:sz w:val="20"/>
              </w:rPr>
              <w:t>Perhutanan</w:t>
            </w:r>
            <w:proofErr w:type="spellEnd"/>
            <w:r w:rsidRPr="004F15FE">
              <w:rPr>
                <w:rFonts w:cs="Times New Roman"/>
                <w:sz w:val="20"/>
              </w:rPr>
              <w:t xml:space="preserve"> </w:t>
            </w:r>
            <w:proofErr w:type="spellStart"/>
            <w:r w:rsidRPr="004F15FE">
              <w:rPr>
                <w:rFonts w:cs="Times New Roman"/>
                <w:sz w:val="20"/>
              </w:rPr>
              <w:t>Sosial</w:t>
            </w:r>
            <w:proofErr w:type="spellEnd"/>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13</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rPr>
              <w:t xml:space="preserve">SK </w:t>
            </w:r>
            <w:proofErr w:type="spellStart"/>
            <w:r w:rsidRPr="004F15FE">
              <w:rPr>
                <w:rFonts w:cs="Times New Roman"/>
                <w:sz w:val="20"/>
              </w:rPr>
              <w:t>Gub</w:t>
            </w:r>
            <w:proofErr w:type="spellEnd"/>
            <w:r w:rsidRPr="004F15FE">
              <w:rPr>
                <w:rFonts w:cs="Times New Roman"/>
                <w:sz w:val="20"/>
              </w:rPr>
              <w:t xml:space="preserve">. </w:t>
            </w:r>
            <w:proofErr w:type="spellStart"/>
            <w:r w:rsidRPr="004F15FE">
              <w:rPr>
                <w:rFonts w:cs="Times New Roman"/>
                <w:sz w:val="20"/>
              </w:rPr>
              <w:t>Sumsel</w:t>
            </w:r>
            <w:proofErr w:type="spellEnd"/>
            <w:r w:rsidRPr="004F15FE">
              <w:rPr>
                <w:rFonts w:cs="Times New Roman"/>
                <w:sz w:val="20"/>
              </w:rPr>
              <w:t xml:space="preserve"> 154/2017</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proofErr w:type="spellStart"/>
            <w:r w:rsidRPr="004F15FE">
              <w:rPr>
                <w:rFonts w:cs="Times New Roman"/>
                <w:sz w:val="20"/>
              </w:rPr>
              <w:t>Pembentukan</w:t>
            </w:r>
            <w:proofErr w:type="spellEnd"/>
            <w:r w:rsidRPr="004F15FE">
              <w:rPr>
                <w:rFonts w:cs="Times New Roman"/>
                <w:sz w:val="20"/>
              </w:rPr>
              <w:t xml:space="preserve"> </w:t>
            </w:r>
            <w:proofErr w:type="spellStart"/>
            <w:r w:rsidRPr="004F15FE">
              <w:rPr>
                <w:rFonts w:cs="Times New Roman"/>
                <w:sz w:val="20"/>
              </w:rPr>
              <w:t>Pokja</w:t>
            </w:r>
            <w:proofErr w:type="spellEnd"/>
            <w:r w:rsidRPr="004F15FE">
              <w:rPr>
                <w:rFonts w:cs="Times New Roman"/>
                <w:sz w:val="20"/>
              </w:rPr>
              <w:t xml:space="preserve"> PPS </w:t>
            </w:r>
            <w:proofErr w:type="spellStart"/>
            <w:r w:rsidRPr="004F15FE">
              <w:rPr>
                <w:rFonts w:cs="Times New Roman"/>
                <w:sz w:val="20"/>
              </w:rPr>
              <w:t>Sumsel</w:t>
            </w:r>
            <w:proofErr w:type="spellEnd"/>
            <w:r w:rsidRPr="004F15FE">
              <w:rPr>
                <w:rFonts w:cs="Times New Roman"/>
                <w:sz w:val="20"/>
              </w:rPr>
              <w:t xml:space="preserve"> </w:t>
            </w:r>
            <w:proofErr w:type="spellStart"/>
            <w:r w:rsidRPr="004F15FE">
              <w:rPr>
                <w:rFonts w:cs="Times New Roman"/>
                <w:sz w:val="20"/>
              </w:rPr>
              <w:t>Tahun</w:t>
            </w:r>
            <w:proofErr w:type="spellEnd"/>
            <w:r w:rsidRPr="004F15FE">
              <w:rPr>
                <w:rFonts w:cs="Times New Roman"/>
                <w:sz w:val="20"/>
              </w:rPr>
              <w:t xml:space="preserve"> 2017-2020 </w:t>
            </w:r>
          </w:p>
        </w:tc>
      </w:tr>
      <w:tr w:rsidR="004F15FE" w:rsidRPr="004F15FE" w:rsidTr="00780610">
        <w:trPr>
          <w:trHeight w:val="70"/>
        </w:trPr>
        <w:tc>
          <w:tcPr>
            <w:tcW w:w="483" w:type="dxa"/>
            <w:tcBorders>
              <w:top w:val="nil"/>
              <w:bottom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14</w:t>
            </w:r>
          </w:p>
        </w:tc>
        <w:tc>
          <w:tcPr>
            <w:tcW w:w="2909" w:type="dxa"/>
            <w:tcBorders>
              <w:top w:val="nil"/>
              <w:bottom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rPr>
              <w:t xml:space="preserve">SK Forum DAS </w:t>
            </w:r>
            <w:proofErr w:type="spellStart"/>
            <w:r w:rsidRPr="004F15FE">
              <w:rPr>
                <w:rFonts w:cs="Times New Roman"/>
                <w:sz w:val="20"/>
              </w:rPr>
              <w:t>Sumsel</w:t>
            </w:r>
            <w:proofErr w:type="spellEnd"/>
            <w:r w:rsidRPr="004F15FE">
              <w:rPr>
                <w:rFonts w:cs="Times New Roman"/>
                <w:sz w:val="20"/>
              </w:rPr>
              <w:t xml:space="preserve"> 008/2012</w:t>
            </w:r>
          </w:p>
        </w:tc>
        <w:tc>
          <w:tcPr>
            <w:tcW w:w="5245" w:type="dxa"/>
            <w:tcBorders>
              <w:top w:val="nil"/>
              <w:bottom w:val="nil"/>
            </w:tcBorders>
            <w:hideMark/>
          </w:tcPr>
          <w:p w:rsidR="004F15FE" w:rsidRPr="004F15FE" w:rsidRDefault="004F15FE" w:rsidP="004F15FE">
            <w:pPr>
              <w:tabs>
                <w:tab w:val="num" w:pos="720"/>
              </w:tabs>
              <w:ind w:firstLine="0"/>
              <w:rPr>
                <w:rFonts w:cs="Times New Roman"/>
                <w:sz w:val="20"/>
                <w:lang w:val="id-ID"/>
              </w:rPr>
            </w:pPr>
            <w:proofErr w:type="spellStart"/>
            <w:r w:rsidRPr="004F15FE">
              <w:rPr>
                <w:rFonts w:cs="Times New Roman"/>
                <w:sz w:val="20"/>
              </w:rPr>
              <w:t>Pembentukan</w:t>
            </w:r>
            <w:proofErr w:type="spellEnd"/>
            <w:r w:rsidRPr="004F15FE">
              <w:rPr>
                <w:rFonts w:cs="Times New Roman"/>
                <w:sz w:val="20"/>
              </w:rPr>
              <w:t xml:space="preserve"> </w:t>
            </w:r>
            <w:proofErr w:type="spellStart"/>
            <w:r w:rsidRPr="004F15FE">
              <w:rPr>
                <w:rFonts w:cs="Times New Roman"/>
                <w:sz w:val="20"/>
              </w:rPr>
              <w:t>Pokja</w:t>
            </w:r>
            <w:proofErr w:type="spellEnd"/>
            <w:r w:rsidRPr="004F15FE">
              <w:rPr>
                <w:rFonts w:cs="Times New Roman"/>
                <w:sz w:val="20"/>
              </w:rPr>
              <w:t xml:space="preserve"> PPS </w:t>
            </w:r>
            <w:proofErr w:type="spellStart"/>
            <w:r w:rsidRPr="004F15FE">
              <w:rPr>
                <w:rFonts w:cs="Times New Roman"/>
                <w:sz w:val="20"/>
              </w:rPr>
              <w:t>Sumsel</w:t>
            </w:r>
            <w:proofErr w:type="spellEnd"/>
            <w:r w:rsidRPr="004F15FE">
              <w:rPr>
                <w:rFonts w:cs="Times New Roman"/>
                <w:sz w:val="20"/>
              </w:rPr>
              <w:t xml:space="preserve"> P 2012-2017</w:t>
            </w:r>
          </w:p>
        </w:tc>
      </w:tr>
      <w:tr w:rsidR="004F15FE" w:rsidRPr="004F15FE" w:rsidTr="00780610">
        <w:trPr>
          <w:trHeight w:val="136"/>
        </w:trPr>
        <w:tc>
          <w:tcPr>
            <w:tcW w:w="483" w:type="dxa"/>
            <w:tcBorders>
              <w:top w:val="nil"/>
            </w:tcBorders>
            <w:hideMark/>
          </w:tcPr>
          <w:p w:rsidR="004F15FE" w:rsidRPr="004F15FE" w:rsidRDefault="004F15FE" w:rsidP="004F15FE">
            <w:pPr>
              <w:tabs>
                <w:tab w:val="num" w:pos="720"/>
              </w:tabs>
              <w:ind w:firstLine="0"/>
              <w:jc w:val="center"/>
              <w:rPr>
                <w:rFonts w:cs="Times New Roman"/>
                <w:sz w:val="20"/>
                <w:lang w:val="id-ID"/>
              </w:rPr>
            </w:pPr>
            <w:r w:rsidRPr="004F15FE">
              <w:rPr>
                <w:rFonts w:cs="Times New Roman"/>
                <w:bCs/>
                <w:sz w:val="20"/>
              </w:rPr>
              <w:t>15</w:t>
            </w:r>
          </w:p>
        </w:tc>
        <w:tc>
          <w:tcPr>
            <w:tcW w:w="2909" w:type="dxa"/>
            <w:tcBorders>
              <w:top w:val="nil"/>
            </w:tcBorders>
            <w:hideMark/>
          </w:tcPr>
          <w:p w:rsidR="004F15FE" w:rsidRPr="004F15FE" w:rsidRDefault="004F15FE" w:rsidP="004F15FE">
            <w:pPr>
              <w:tabs>
                <w:tab w:val="num" w:pos="720"/>
              </w:tabs>
              <w:ind w:firstLine="0"/>
              <w:rPr>
                <w:rFonts w:cs="Times New Roman"/>
                <w:sz w:val="20"/>
                <w:lang w:val="id-ID"/>
              </w:rPr>
            </w:pPr>
            <w:r w:rsidRPr="004F15FE">
              <w:rPr>
                <w:rFonts w:cs="Times New Roman"/>
                <w:sz w:val="20"/>
              </w:rPr>
              <w:t xml:space="preserve">SK </w:t>
            </w:r>
            <w:proofErr w:type="spellStart"/>
            <w:r w:rsidRPr="004F15FE">
              <w:rPr>
                <w:rFonts w:cs="Times New Roman"/>
                <w:sz w:val="20"/>
              </w:rPr>
              <w:t>Gub</w:t>
            </w:r>
            <w:proofErr w:type="spellEnd"/>
            <w:r w:rsidRPr="004F15FE">
              <w:rPr>
                <w:rFonts w:cs="Times New Roman"/>
                <w:sz w:val="20"/>
              </w:rPr>
              <w:t xml:space="preserve">. </w:t>
            </w:r>
            <w:proofErr w:type="spellStart"/>
            <w:r w:rsidRPr="004F15FE">
              <w:rPr>
                <w:rFonts w:cs="Times New Roman"/>
                <w:sz w:val="20"/>
              </w:rPr>
              <w:t>Sumsel</w:t>
            </w:r>
            <w:proofErr w:type="spellEnd"/>
            <w:r w:rsidRPr="004F15FE">
              <w:rPr>
                <w:rFonts w:cs="Times New Roman"/>
                <w:sz w:val="20"/>
              </w:rPr>
              <w:t xml:space="preserve"> 717/2017 </w:t>
            </w:r>
          </w:p>
        </w:tc>
        <w:tc>
          <w:tcPr>
            <w:tcW w:w="5245" w:type="dxa"/>
            <w:tcBorders>
              <w:top w:val="nil"/>
            </w:tcBorders>
            <w:hideMark/>
          </w:tcPr>
          <w:p w:rsidR="004F15FE" w:rsidRPr="004F15FE" w:rsidRDefault="004F15FE" w:rsidP="00780610">
            <w:pPr>
              <w:tabs>
                <w:tab w:val="num" w:pos="720"/>
              </w:tabs>
              <w:ind w:firstLine="0"/>
              <w:jc w:val="left"/>
              <w:rPr>
                <w:rFonts w:cs="Times New Roman"/>
                <w:sz w:val="20"/>
                <w:lang w:val="id-ID"/>
              </w:rPr>
            </w:pPr>
            <w:proofErr w:type="spellStart"/>
            <w:r w:rsidRPr="004F15FE">
              <w:rPr>
                <w:rFonts w:cs="Times New Roman"/>
                <w:sz w:val="20"/>
              </w:rPr>
              <w:t>Perubahan</w:t>
            </w:r>
            <w:proofErr w:type="spellEnd"/>
            <w:r w:rsidRPr="004F15FE">
              <w:rPr>
                <w:rFonts w:cs="Times New Roman"/>
                <w:sz w:val="20"/>
              </w:rPr>
              <w:t xml:space="preserve"> </w:t>
            </w:r>
            <w:proofErr w:type="spellStart"/>
            <w:r w:rsidRPr="004F15FE">
              <w:rPr>
                <w:rFonts w:cs="Times New Roman"/>
                <w:sz w:val="20"/>
              </w:rPr>
              <w:t>atas</w:t>
            </w:r>
            <w:proofErr w:type="spellEnd"/>
            <w:r w:rsidRPr="004F15FE">
              <w:rPr>
                <w:rFonts w:cs="Times New Roman"/>
                <w:sz w:val="20"/>
              </w:rPr>
              <w:t xml:space="preserve"> </w:t>
            </w:r>
            <w:r w:rsidR="00A543F6">
              <w:rPr>
                <w:rFonts w:cs="Times New Roman"/>
                <w:sz w:val="20"/>
              </w:rPr>
              <w:t xml:space="preserve">SK </w:t>
            </w:r>
            <w:proofErr w:type="spellStart"/>
            <w:r w:rsidRPr="004F15FE">
              <w:rPr>
                <w:rFonts w:cs="Times New Roman"/>
                <w:sz w:val="20"/>
              </w:rPr>
              <w:t>Gub.Sumsel</w:t>
            </w:r>
            <w:proofErr w:type="spellEnd"/>
            <w:r w:rsidRPr="004F15FE">
              <w:rPr>
                <w:rFonts w:cs="Times New Roman"/>
                <w:sz w:val="20"/>
              </w:rPr>
              <w:t xml:space="preserve"> 154/KPTS/DISHUT/</w:t>
            </w:r>
            <w:r w:rsidR="00A543F6">
              <w:rPr>
                <w:rFonts w:cs="Times New Roman"/>
                <w:sz w:val="20"/>
              </w:rPr>
              <w:t>2</w:t>
            </w:r>
            <w:r w:rsidRPr="004F15FE">
              <w:rPr>
                <w:rFonts w:cs="Times New Roman"/>
                <w:sz w:val="20"/>
              </w:rPr>
              <w:t>017</w:t>
            </w:r>
          </w:p>
        </w:tc>
      </w:tr>
    </w:tbl>
    <w:p w:rsidR="00C16B7F" w:rsidRPr="00DE0FEF" w:rsidRDefault="00B4736B" w:rsidP="00C16B7F">
      <w:pPr>
        <w:rPr>
          <w:szCs w:val="23"/>
        </w:rPr>
      </w:pPr>
      <w:r w:rsidRPr="00DE0FEF">
        <w:rPr>
          <w:szCs w:val="23"/>
        </w:rPr>
        <w:t>Edward III (1980) asserted that the success of policy implementation is not only determined by the extent to which policy makers (</w:t>
      </w:r>
      <w:proofErr w:type="spellStart"/>
      <w:r w:rsidRPr="00DE0FEF">
        <w:rPr>
          <w:szCs w:val="23"/>
        </w:rPr>
        <w:t>implementors</w:t>
      </w:r>
      <w:proofErr w:type="spellEnd"/>
      <w:r w:rsidRPr="00DE0FEF">
        <w:rPr>
          <w:szCs w:val="23"/>
        </w:rPr>
        <w:t xml:space="preserve">) know what to do and are able to do it, but also determined by the willingness of policy actors to have a strong disposition towards policies being implemented. Knowledge, deepening, and understanding of policy, this will lead to acceptance, neutrality, and rejection of policy. That attitude will lead to the disposition of the policy actors themselves. High dispositions affect the level of success of policy implementation. This disposition is a willingness, desire, and tendency of policy actors to implement policies seriously, so that what </w:t>
      </w:r>
      <w:proofErr w:type="gramStart"/>
      <w:r w:rsidRPr="00DE0FEF">
        <w:rPr>
          <w:szCs w:val="23"/>
        </w:rPr>
        <w:t>becomes the policy objectives</w:t>
      </w:r>
      <w:proofErr w:type="gramEnd"/>
      <w:r w:rsidRPr="00DE0FEF">
        <w:rPr>
          <w:szCs w:val="23"/>
        </w:rPr>
        <w:t xml:space="preserve"> can be realized. Therefore, disposition is defined as the character / characteristics possessed by the executor of the policy, the disposition is like commitment, honesty, and democratic nature </w:t>
      </w:r>
      <w:r w:rsidR="00B40461" w:rsidRPr="00DE0FEF">
        <w:rPr>
          <w:szCs w:val="23"/>
        </w:rPr>
        <w:fldChar w:fldCharType="begin" w:fldLock="1"/>
      </w:r>
      <w:r w:rsidR="00F70037" w:rsidRPr="00DE0FEF">
        <w:rPr>
          <w:szCs w:val="23"/>
        </w:rPr>
        <w:instrText>ADDIN CSL_CITATION {"citationItems":[{"id":"ITEM-1","itemData":{"author":[{"dropping-particle":"","family":"Wilujeng","given":"Etik","non-dropping-particle":"","parse-names":false,"suffix":""}],"container-title":"Kebijakan dan Manajemen Publik","id":"ITEM-1","issue":"April","issued":{"date-parts":[["2015"]]},"page":"1-10","title":"Implementasi Kebijakan Pengelolaan Hutan Bersama Masyarakat (PHBM) dalam Rangka Pelestarian Hutan Di KPH Blora","type":"article-journal","volume":"3"},"uris":["http://www.mendeley.com/documents/?uuid=ccfe4f23-f744-4979-ba73-d5cb794fabb1"]}],"mendeley":{"formattedCitation":"[39]","plainTextFormattedCitation":"[39]","previouslyFormattedCitation":"(Wilujeng, 2015)"},"properties":{"noteIndex":0},"schema":"https://github.com/citation-style-language/schema/raw/master/csl-citation.json"}</w:instrText>
      </w:r>
      <w:r w:rsidR="00B40461" w:rsidRPr="00DE0FEF">
        <w:rPr>
          <w:szCs w:val="23"/>
        </w:rPr>
        <w:fldChar w:fldCharType="separate"/>
      </w:r>
      <w:r w:rsidR="00F70037" w:rsidRPr="00DE0FEF">
        <w:rPr>
          <w:noProof/>
          <w:szCs w:val="23"/>
        </w:rPr>
        <w:t>[39]</w:t>
      </w:r>
      <w:r w:rsidR="00B40461" w:rsidRPr="00DE0FEF">
        <w:rPr>
          <w:szCs w:val="23"/>
        </w:rPr>
        <w:fldChar w:fldCharType="end"/>
      </w:r>
      <w:r w:rsidR="00C16B7F" w:rsidRPr="00DE0FEF">
        <w:rPr>
          <w:szCs w:val="23"/>
        </w:rPr>
        <w:t>.</w:t>
      </w:r>
    </w:p>
    <w:p w:rsidR="00C16B7F" w:rsidRPr="00DE0FEF" w:rsidRDefault="00AF7D93" w:rsidP="00C16B7F">
      <w:pPr>
        <w:rPr>
          <w:color w:val="FF0000"/>
          <w:szCs w:val="24"/>
        </w:rPr>
      </w:pPr>
      <w:r w:rsidRPr="00DE0FEF">
        <w:rPr>
          <w:szCs w:val="24"/>
        </w:rPr>
        <w:t xml:space="preserve">Policy actors consisting of governments and local governments have a high commitment to the implementation of social forestry policies. This can be seen from the existence of this common policy in various programs and aspects such as fund allocation, publication and distribution of human resources. This commitment was realized with the establishment of implementing elements in the LHK ministry who had the task of formulating and implementing technical policies and standardization in the field of social forestry in the form of the Directorate of Social Forestry and Environmental Partnerships (DG PSKL). Contradictory conditions occur at the village government level where attention to the implementation of social forestry programs is </w:t>
      </w:r>
      <w:r w:rsidRPr="00DE0FEF">
        <w:rPr>
          <w:szCs w:val="24"/>
        </w:rPr>
        <w:lastRenderedPageBreak/>
        <w:t>considered lacking. This can be seen from the absence of contributions from the village government program (the results of the village development forum) on the management of forest farmer groups in implementing social forestry.</w:t>
      </w:r>
    </w:p>
    <w:p w:rsidR="00C16B7F" w:rsidRDefault="00AF7D93" w:rsidP="00C16B7F">
      <w:r w:rsidRPr="00DE0FEF">
        <w:rPr>
          <w:szCs w:val="24"/>
        </w:rPr>
        <w:t>This condition</w:t>
      </w:r>
      <w:r w:rsidRPr="00AF7D93">
        <w:t xml:space="preserve"> indicates the difficulty of elaboration between the village government and forestry farmer groups has a considerable impact on the escort and internalization of social forestry schemes by the community and village institutions. This signals that the existence of social forestry is not an integral part of village development, alleviation of the poor, while building the socio-economic independence of the poor in and around the forest </w:t>
      </w:r>
      <w:r w:rsidR="00B40461">
        <w:fldChar w:fldCharType="begin" w:fldLock="1"/>
      </w:r>
      <w:r w:rsidR="00F70037">
        <w:instrText>ADDIN CSL_CITATION {"citationItems":[{"id":"ITEM-1","itemData":{"ISBN":"9786029768381","author":[{"dropping-particle":"","family":"Sahide","given":"Muhammad Alif K","non-dropping-particle":"","parse-names":false,"suffix":""},{"dropping-particle":"","family":"Jusuf","given":"Yusran","non-dropping-particle":"","parse-names":false,"suffix":""},{"dropping-particle":"","family":"Supratman","given":"Supratman","non-dropping-particle":"","parse-names":false,"suffix":""},{"dropping-particle":"","family":"Millang","given":"Syamsuddin","non-dropping-particle":"","parse-names":false,"suffix":""},{"dropping-particle":"","family":"Mahbub","given":"Asar Said","non-dropping-particle":"","parse-names":false,"suffix":""},{"dropping-particle":"","family":"Bachtiar","given":"Budirman","non-dropping-particle":"","parse-names":false,"suffix":""},{"dropping-particle":"","family":"Sabar","given":"Adrayanti","non-dropping-particle":"","parse-names":false,"suffix":""},{"dropping-particle":"","family":"Nasri","given":"","non-dropping-particle":"","parse-names":false,"suffix":""},{"dropping-particle":"","family":"Nursaputra","given":"Munajat","non-dropping-particle":"","parse-names":false,"suffix":""},{"dropping-particle":"","family":"Ahmad","given":"Muh. Fahrum","non-dropping-particle":"","parse-names":false,"suffix":""},{"dropping-particle":"","family":"Yahya","given":"Nurul Huda","non-dropping-particle":"","parse-names":false,"suffix":""}],"editor":[{"dropping-particle":"","family":"Sahide","given":"Muhammad Alif K.","non-dropping-particle":"","parse-names":false,"suffix":""}],"id":"ITEM-1","issue":"December","issued":{"date-parts":[["2018"]]},"publisher":"Fakultas Kehutanan UNHAS","publisher-place":"Makassar","title":"Kajian Dampak Perhutanan Sosial Provinsi Sulawesi Selatan","type":"book"},"uris":["http://www.mendeley.com/documents/?uuid=dc1d3108-632e-46cc-be52-6cf4e3a453bd"]}],"mendeley":{"formattedCitation":"[44]","plainTextFormattedCitation":"[44]","previouslyFormattedCitation":"(Sahide et al., 2018)"},"properties":{"noteIndex":0},"schema":"https://github.com/citation-style-language/schema/raw/master/csl-citation.json"}</w:instrText>
      </w:r>
      <w:r w:rsidR="00B40461">
        <w:fldChar w:fldCharType="separate"/>
      </w:r>
      <w:r w:rsidR="00F70037" w:rsidRPr="00F70037">
        <w:rPr>
          <w:noProof/>
        </w:rPr>
        <w:t>[44]</w:t>
      </w:r>
      <w:r w:rsidR="00B40461">
        <w:fldChar w:fldCharType="end"/>
      </w:r>
      <w:r w:rsidR="00C16B7F">
        <w:t>.</w:t>
      </w:r>
    </w:p>
    <w:p w:rsidR="00183DD0" w:rsidRPr="00183DD0" w:rsidRDefault="00183DD0" w:rsidP="00C16B7F">
      <w:r w:rsidRPr="00183DD0">
        <w:t xml:space="preserve">SOPs can be interpreted as a set of work orders or steps that must be followed to carry out a work based on the objectives to be achieved </w:t>
      </w:r>
      <w:r w:rsidR="00B40461" w:rsidRPr="00183DD0">
        <w:rPr>
          <w:lang w:val="id-ID"/>
        </w:rPr>
        <w:fldChar w:fldCharType="begin" w:fldLock="1"/>
      </w:r>
      <w:r w:rsidRPr="00183DD0">
        <w:rPr>
          <w:lang w:val="id-ID"/>
        </w:rPr>
        <w:instrText>ADDIN CSL_CITATION {"citationItems":[{"id":"ITEM-1","itemData":{"author":[{"dropping-particle":"","family":"Ifrisal","given":"La Ode","non-dropping-particle":"","parse-names":false,"suffix":""},{"dropping-particle":"","family":"Kartodihardjo","given":"Hariadi","non-dropping-particle":"","parse-names":false,"suffix":""},{"dropping-particle":"","family":"Nugroho","given":"Bramasto","non-dropping-particle":"","parse-names":false,"suffix":""}],"container-title":"Jurnal Silvikultur Tropika","id":"ITEM-1","issue":"3","issued":{"date-parts":[["2016"]]},"page":"159-164","title":"Implementasi Kebijakan Hutan Tanaman Rakyat di Kabupaten Muna Sulawesi Tenggara","type":"article-journal","volume":"07"},"uris":["http://www.mendeley.com/documents/?uuid=9f710e3e-b637-4adf-b2c6-b4162620f7e1"]}],"mendeley":{"formattedCitation":"[45]","plainTextFormattedCitation":"[45]","previouslyFormattedCitation":"(Ifrisal et al., 2016)"},"properties":{"noteIndex":0},"schema":"https://github.com/citation-style-language/schema/raw/master/csl-citation.json"}</w:instrText>
      </w:r>
      <w:r w:rsidR="00B40461" w:rsidRPr="00183DD0">
        <w:rPr>
          <w:lang w:val="id-ID"/>
        </w:rPr>
        <w:fldChar w:fldCharType="separate"/>
      </w:r>
      <w:r w:rsidRPr="00183DD0">
        <w:rPr>
          <w:noProof/>
          <w:lang w:val="id-ID"/>
        </w:rPr>
        <w:t>[45]</w:t>
      </w:r>
      <w:r w:rsidR="00B40461" w:rsidRPr="00183DD0">
        <w:rPr>
          <w:lang w:val="id-ID"/>
        </w:rPr>
        <w:fldChar w:fldCharType="end"/>
      </w:r>
      <w:r w:rsidRPr="00183DD0">
        <w:t xml:space="preserve">. SOP as a source, purpose and technical guide for policy implementation, local government (Forestry Service of South Sumatra Province) as a regional level implementing party through PPM (Community Development and Development) with authority distributed to the UPTD </w:t>
      </w:r>
      <w:proofErr w:type="spellStart"/>
      <w:r w:rsidRPr="00183DD0">
        <w:t>Wil</w:t>
      </w:r>
      <w:proofErr w:type="spellEnd"/>
      <w:r w:rsidRPr="00183DD0">
        <w:t xml:space="preserve"> KPH. I as an implementer at the site level </w:t>
      </w:r>
      <w:proofErr w:type="gramStart"/>
      <w:r w:rsidRPr="00183DD0">
        <w:t>has</w:t>
      </w:r>
      <w:proofErr w:type="gramEnd"/>
      <w:r w:rsidRPr="00183DD0">
        <w:t xml:space="preserve"> clear and measurable standards to become the basis for implementing social forestry policies. This can be seen from the implementation of the policy in accordance with the applicable rules and the clear technical rules that exist in Table 7. According to all parties involved, especially the government as policy implementers and external actors (NGOs and green </w:t>
      </w:r>
      <w:proofErr w:type="spellStart"/>
      <w:r w:rsidRPr="00183DD0">
        <w:t>sumsel</w:t>
      </w:r>
      <w:proofErr w:type="spellEnd"/>
      <w:r w:rsidRPr="00183DD0">
        <w:t xml:space="preserve"> development partners), academics, etc. the technical regulations that have been issued have sufficiently accommodated the technical rules of social forestry.</w:t>
      </w:r>
    </w:p>
    <w:p w:rsidR="003B2CC5" w:rsidRDefault="003B2CC5" w:rsidP="003B2CC5">
      <w:pPr>
        <w:ind w:firstLine="0"/>
        <w:rPr>
          <w:rFonts w:cs="Times New Roman"/>
          <w:kern w:val="0"/>
          <w:sz w:val="23"/>
          <w:szCs w:val="23"/>
        </w:rPr>
      </w:pPr>
      <w:bookmarkStart w:id="6" w:name="_Toc2873022"/>
    </w:p>
    <w:p w:rsidR="002F3FBA" w:rsidRDefault="003B2CC5" w:rsidP="007B18A2">
      <w:pPr>
        <w:ind w:firstLine="0"/>
        <w:outlineLvl w:val="0"/>
        <w:rPr>
          <w:rFonts w:cs="Times New Roman"/>
          <w:kern w:val="0"/>
          <w:szCs w:val="23"/>
          <w:lang w:val="id-ID"/>
        </w:rPr>
      </w:pPr>
      <w:r w:rsidRPr="00C17938">
        <w:rPr>
          <w:rFonts w:cs="Times New Roman"/>
          <w:kern w:val="0"/>
          <w:szCs w:val="23"/>
        </w:rPr>
        <w:t xml:space="preserve">3.3 </w:t>
      </w:r>
      <w:bookmarkEnd w:id="6"/>
      <w:r w:rsidR="002F3FBA" w:rsidRPr="002F3FBA">
        <w:rPr>
          <w:rFonts w:cs="Times New Roman"/>
          <w:kern w:val="0"/>
          <w:szCs w:val="23"/>
          <w:lang w:val="id-ID"/>
        </w:rPr>
        <w:t>Effectiveness of Social Forestry Policy: Synthesis of Research Results</w:t>
      </w:r>
    </w:p>
    <w:p w:rsidR="003A13DB" w:rsidRDefault="002F3FBA" w:rsidP="003A13DB">
      <w:r w:rsidRPr="002F3FBA">
        <w:t xml:space="preserve">At least there are 3 keys to success in implementing community-based forest management including: 1) Policy environment factors, in the form of the role of NGOs, characteristics and support of target groups and dispositions of regional heads. The implementation process begins with good socialization by accompanying NGOs so that community enthusiasm emerges in guarding the participatory implementation process, 2) Factors in the availability of resources which include human resources and financial resources; and 3) Factor accuracy of policy instruments </w:t>
      </w:r>
      <w:r w:rsidR="00B40461">
        <w:fldChar w:fldCharType="begin" w:fldLock="1"/>
      </w:r>
      <w:r>
        <w:instrText>ADDIN CSL_CITATION {"citationItems":[{"id":"ITEM-1","itemData":{"author":[{"dropping-particle":"","family":"Taufiqurrohman","given":"","non-dropping-particle":"","parse-names":false,"suffix":""}],"id":"ITEM-1","issued":{"date-parts":[["2014"]]},"publisher":"Universitas Gajah Mada","title":"Implementasi Kebijakan Kehutanan Masyarakat (Studi Kasus Hutan Kemasyarakatan di Dusun Kalibiru, Kulon Progo)","type":"thesis"},"uris":["http://www.mendeley.com/documents/?uuid=42f28e35-ea00-4d36-9bdc-b364c208b4b7"]}],"mendeley":{"formattedCitation":"[43]","plainTextFormattedCitation":"[43]","previouslyFormattedCitation":"(Taufiqurrohman, 2014)"},"properties":{"noteIndex":0},"schema":"https://github.com/citation-style-language/schema/raw/master/csl-citation.json"}</w:instrText>
      </w:r>
      <w:r w:rsidR="00B40461">
        <w:fldChar w:fldCharType="separate"/>
      </w:r>
      <w:r w:rsidRPr="00F70037">
        <w:rPr>
          <w:noProof/>
        </w:rPr>
        <w:t>[43]</w:t>
      </w:r>
      <w:r w:rsidR="00B40461">
        <w:fldChar w:fldCharType="end"/>
      </w:r>
      <w:r w:rsidRPr="002F3FBA">
        <w:t>. In the implementation of social forestry policies found several main problems that are the cause of the slow granting of licenses, namely the problem of bureaucracy, institutions and funding, and knowledge.</w:t>
      </w:r>
    </w:p>
    <w:p w:rsidR="00DF2DBA" w:rsidRDefault="003A13DB" w:rsidP="00DF2DBA">
      <w:pPr>
        <w:rPr>
          <w:szCs w:val="23"/>
        </w:rPr>
      </w:pPr>
      <w:r w:rsidRPr="003A13DB">
        <w:rPr>
          <w:szCs w:val="23"/>
        </w:rPr>
        <w:t xml:space="preserve">The proposed location of social forestry in the range of 2014-2015 was affected by the transfer of authority from region to province. </w:t>
      </w:r>
      <w:proofErr w:type="gramStart"/>
      <w:r w:rsidRPr="003A13DB">
        <w:rPr>
          <w:szCs w:val="23"/>
        </w:rPr>
        <w:t>So that there are transitions and adjustments to data collection and other resources.</w:t>
      </w:r>
      <w:proofErr w:type="gramEnd"/>
      <w:r w:rsidRPr="003A13DB">
        <w:rPr>
          <w:szCs w:val="23"/>
        </w:rPr>
        <w:t xml:space="preserve"> The function of escorting proposals at the site level is slow because the changes in authority make repositioning of structures in regional forestry institutions. </w:t>
      </w:r>
      <w:proofErr w:type="gramStart"/>
      <w:r w:rsidRPr="003A13DB">
        <w:rPr>
          <w:szCs w:val="23"/>
        </w:rPr>
        <w:t>So that the technical role does not run optimally during the transition period.</w:t>
      </w:r>
      <w:proofErr w:type="gramEnd"/>
      <w:r w:rsidRPr="003A13DB">
        <w:rPr>
          <w:szCs w:val="23"/>
        </w:rPr>
        <w:t xml:space="preserve"> In addition to changes in technical personnel, changes in the authority of the social forestry policy initially handled by the Watershed Utilization Center (BPDAS) were transferred to the Social Forestry and Environmental Partnership (PSKL). So that the transformation was also allegedly contributing to the delay in the process of proposing and granting forest utilization business licenses.</w:t>
      </w:r>
    </w:p>
    <w:p w:rsidR="00775125" w:rsidRPr="00DF2DBA" w:rsidRDefault="00775125" w:rsidP="00DF2DBA">
      <w:pPr>
        <w:rPr>
          <w:szCs w:val="23"/>
        </w:rPr>
      </w:pPr>
      <w:r w:rsidRPr="00DF2DBA">
        <w:t xml:space="preserve">In general, the implementation of social forestry policies in the work area of the UPTD </w:t>
      </w:r>
      <w:r w:rsidR="0095535D">
        <w:t>KPH Reg. 1</w:t>
      </w:r>
      <w:r w:rsidRPr="00DF2DBA">
        <w:t xml:space="preserve"> </w:t>
      </w:r>
      <w:proofErr w:type="spellStart"/>
      <w:r w:rsidRPr="00DF2DBA">
        <w:t>Meranti</w:t>
      </w:r>
      <w:proofErr w:type="spellEnd"/>
      <w:r w:rsidRPr="00DF2DBA">
        <w:t xml:space="preserve"> is quite good. There are several important notes including:</w:t>
      </w:r>
    </w:p>
    <w:p w:rsidR="00DF2DBA" w:rsidRPr="00706B7E" w:rsidRDefault="00DF2DBA" w:rsidP="00DF2DBA">
      <w:pPr>
        <w:ind w:left="284" w:hanging="284"/>
        <w:rPr>
          <w:lang w:eastAsia="zh-CN"/>
        </w:rPr>
      </w:pPr>
      <w:r w:rsidRPr="00DF2DBA">
        <w:rPr>
          <w:lang w:val="id-ID" w:eastAsia="zh-CN"/>
        </w:rPr>
        <w:t>1. Funding and staff resources (human resources) are still lacking</w:t>
      </w:r>
      <w:r w:rsidR="00706B7E">
        <w:rPr>
          <w:lang w:eastAsia="zh-CN"/>
        </w:rPr>
        <w:t>.</w:t>
      </w:r>
    </w:p>
    <w:p w:rsidR="00DF2DBA" w:rsidRPr="00DF2DBA" w:rsidRDefault="00DF2DBA" w:rsidP="00DF2DBA">
      <w:pPr>
        <w:ind w:left="284" w:hanging="284"/>
        <w:rPr>
          <w:lang w:val="id-ID" w:eastAsia="zh-CN"/>
        </w:rPr>
      </w:pPr>
      <w:r w:rsidRPr="00DF2DBA">
        <w:rPr>
          <w:lang w:val="id-ID" w:eastAsia="zh-CN"/>
        </w:rPr>
        <w:t>2. The process of collective action between actors is running well with the existence of a committed PPS Working Group.</w:t>
      </w:r>
    </w:p>
    <w:p w:rsidR="00DF2DBA" w:rsidRPr="00DF2DBA" w:rsidRDefault="00DF2DBA" w:rsidP="00DF2DBA">
      <w:pPr>
        <w:ind w:left="284" w:hanging="284"/>
        <w:rPr>
          <w:lang w:val="id-ID" w:eastAsia="zh-CN"/>
        </w:rPr>
      </w:pPr>
      <w:r w:rsidRPr="00DF2DBA">
        <w:rPr>
          <w:lang w:val="id-ID" w:eastAsia="zh-CN"/>
        </w:rPr>
        <w:lastRenderedPageBreak/>
        <w:t>3. Technical rules are clear with the existence of SOPs that are derived from the rules of government and local government.</w:t>
      </w:r>
    </w:p>
    <w:p w:rsidR="00DF2DBA" w:rsidRDefault="007B58F6" w:rsidP="00DF2DBA">
      <w:pPr>
        <w:ind w:left="284" w:hanging="284"/>
        <w:rPr>
          <w:lang w:val="id-ID" w:eastAsia="zh-CN"/>
        </w:rPr>
      </w:pPr>
      <w:r>
        <w:rPr>
          <w:noProof/>
          <w:lang w:val="id-ID" w:eastAsia="id-ID"/>
        </w:rPr>
        <w:drawing>
          <wp:anchor distT="0" distB="0" distL="114300" distR="114300" simplePos="0" relativeHeight="251673600" behindDoc="0" locked="0" layoutInCell="1" allowOverlap="1">
            <wp:simplePos x="0" y="0"/>
            <wp:positionH relativeFrom="column">
              <wp:posOffset>148590</wp:posOffset>
            </wp:positionH>
            <wp:positionV relativeFrom="paragraph">
              <wp:posOffset>596265</wp:posOffset>
            </wp:positionV>
            <wp:extent cx="5057775" cy="495300"/>
            <wp:effectExtent l="19050" t="0" r="9525" b="0"/>
            <wp:wrapSquare wrapText="bothSides"/>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DF2DBA" w:rsidRPr="00DF2DBA">
        <w:rPr>
          <w:lang w:val="id-ID" w:eastAsia="zh-CN"/>
        </w:rPr>
        <w:t>4. Communication goes well between communities (</w:t>
      </w:r>
      <w:r w:rsidR="00DF2DBA">
        <w:rPr>
          <w:lang w:eastAsia="zh-CN"/>
        </w:rPr>
        <w:t>Forest farmer groups</w:t>
      </w:r>
      <w:r w:rsidR="00DF2DBA" w:rsidRPr="00DF2DBA">
        <w:rPr>
          <w:lang w:val="id-ID" w:eastAsia="zh-CN"/>
        </w:rPr>
        <w:t xml:space="preserve"> and cooperative members) - local government and </w:t>
      </w:r>
      <w:r w:rsidR="00DF2DBA">
        <w:rPr>
          <w:lang w:eastAsia="zh-CN"/>
        </w:rPr>
        <w:t>facilitator</w:t>
      </w:r>
      <w:r w:rsidR="00DF2DBA" w:rsidRPr="00DF2DBA">
        <w:rPr>
          <w:lang w:val="id-ID" w:eastAsia="zh-CN"/>
        </w:rPr>
        <w:t>s, but not so well between government structures (village heads and apparatus and local government).</w:t>
      </w:r>
    </w:p>
    <w:p w:rsidR="007E0ED1" w:rsidRDefault="007E0ED1" w:rsidP="007B18A2">
      <w:pPr>
        <w:pStyle w:val="JudulGambar"/>
        <w:spacing w:line="240" w:lineRule="auto"/>
        <w:outlineLvl w:val="0"/>
        <w:rPr>
          <w:sz w:val="24"/>
        </w:rPr>
      </w:pPr>
      <w:bookmarkStart w:id="7" w:name="_Toc4364837"/>
      <w:proofErr w:type="gramStart"/>
      <w:r>
        <w:rPr>
          <w:sz w:val="24"/>
          <w:lang w:val="en-US"/>
        </w:rPr>
        <w:t>Figure 4</w:t>
      </w:r>
      <w:r w:rsidR="00A14988" w:rsidRPr="00A14988">
        <w:rPr>
          <w:sz w:val="24"/>
        </w:rPr>
        <w:t>.</w:t>
      </w:r>
      <w:proofErr w:type="gramEnd"/>
      <w:r w:rsidR="00A14988" w:rsidRPr="00A14988">
        <w:rPr>
          <w:sz w:val="24"/>
        </w:rPr>
        <w:t xml:space="preserve"> </w:t>
      </w:r>
      <w:bookmarkEnd w:id="7"/>
      <w:r w:rsidRPr="007E0ED1">
        <w:rPr>
          <w:sz w:val="24"/>
        </w:rPr>
        <w:t>Recommendations for changing the mindset of social forestry management</w:t>
      </w:r>
    </w:p>
    <w:p w:rsidR="008703FE" w:rsidRDefault="008703FE" w:rsidP="007E0ED1">
      <w:r w:rsidRPr="008703FE">
        <w:t xml:space="preserve">In the future, a change of mindset is needed in the management of social forestry (figure 4). The indicator of success is no longer the area of granting legal access to forest farmer groups, but rather the contribution of state revenue from forest utilization through social forestry efforts </w:t>
      </w:r>
      <w:r w:rsidR="00B40461">
        <w:fldChar w:fldCharType="begin" w:fldLock="1"/>
      </w:r>
      <w:r w:rsidRPr="00FE4C74">
        <w:instrText>ADDIN CSL_CITATION {"citationItems":[{"id":"ITEM-1","itemData":{"ISBN":"9786029768381","author":[{"dropping-particle":"","family":"Sahide","given":"Muhammad Alif K","non-dropping-particle":"","parse-names":false,"suffix":""},{"dropping-particle":"","family":"Jusuf","given":"Yusran","non-dropping-particle":"","parse-names":false,"suffix":""},{"dropping-particle":"","family":"Supratman","given":"Supratman","non-dropping-particle":"","parse-names":false,"suffix":""},{"dropping-particle":"","family":"Millang","given":"Syamsuddin","non-dropping-particle":"","parse-names":false,"suffix":""},{"dropping-particle":"","family":"Mahbub","given":"Asar Said","non-dropping-particle":"","parse-names":false,"suffix":""},{"dropping-particle":"","family":"Bachtiar","given":"Budirman","non-dropping-particle":"","parse-names":false,"suffix":""},{"dropping-particle":"","family":"Sabar","given":"Adrayanti","non-dropping-particle":"","parse-names":false,"suffix":""},{"dropping-particle":"","family":"Nasri","given":"","non-dropping-particle":"","parse-names":false,"suffix":""},{"dropping-particle":"","family":"Nursaputra","given":"Munajat","non-dropping-particle":"","parse-names":false,"suffix":""},{"dropping-particle":"","family":"Ahmad","given":"Muh. Fahrum","non-dropping-particle":"","parse-names":false,"suffix":""},{"dropping-particle":"","family":"Yahya","given":"Nurul Huda","non-dropping-particle":"","parse-names":false,"suffix":""}],"editor":[{"dropping-particle":"","family":"Sahide","given":"Muhammad Alif K.","non-dropping-particle":"","parse-names":false,"suffix":""}],"id":"ITEM-1","issue":"December","issued":{"date-parts":[["2018"]]},"publisher":"Fakultas Kehutanan UNHAS","publisher-place":"Makassar","title":"Kajian Dampak Perhutanan Sosial Provinsi Sulawesi Selatan","type":"book"},"uris":["http://www.mendeley.com/documents/?uuid=dc1d3108-632e-46cc-be52-6cf4e3a453bd"]}],"mendeley":{"formattedCitation":"[44]","plainTextFormattedCitation":"[44]","previouslyFormattedCitation":"(Sahide et al., 2018)"},"properties":{"noteIndex":0},"schema":"https://github.com/citation-style-language/schema/raw/master/csl-citation.json"}</w:instrText>
      </w:r>
      <w:r w:rsidR="00B40461">
        <w:fldChar w:fldCharType="separate"/>
      </w:r>
      <w:r w:rsidRPr="00FE4C74">
        <w:rPr>
          <w:noProof/>
        </w:rPr>
        <w:t>[44]</w:t>
      </w:r>
      <w:r w:rsidR="00B40461">
        <w:fldChar w:fldCharType="end"/>
      </w:r>
      <w:r>
        <w:t xml:space="preserve">. </w:t>
      </w:r>
      <w:r w:rsidRPr="008703FE">
        <w:t>So that the government's focus in the future is not only the functions of regulators and benefit providers and services that make rules and complaints as well as administrative records, but as facilitators/enablers and are expected to be accelerators of sustainable, equitable and community-based forest management that enables initiatives and community independence.</w:t>
      </w:r>
    </w:p>
    <w:p w:rsidR="00622457" w:rsidRDefault="00622457" w:rsidP="00622457">
      <w:pPr>
        <w:ind w:firstLine="0"/>
      </w:pPr>
    </w:p>
    <w:p w:rsidR="00DC1071" w:rsidRPr="00DC1071" w:rsidRDefault="0045178E" w:rsidP="00DC1071">
      <w:pPr>
        <w:pStyle w:val="ListParagraph"/>
        <w:numPr>
          <w:ilvl w:val="0"/>
          <w:numId w:val="6"/>
        </w:numPr>
        <w:ind w:leftChars="0" w:left="284" w:hanging="284"/>
        <w:rPr>
          <w:b/>
        </w:rPr>
      </w:pPr>
      <w:r>
        <w:rPr>
          <w:b/>
          <w:lang w:val="en-US"/>
        </w:rPr>
        <w:t>Conclusion</w:t>
      </w:r>
    </w:p>
    <w:p w:rsidR="008F2B05" w:rsidRPr="008F2B05" w:rsidRDefault="008F2B05" w:rsidP="008F2B05">
      <w:pPr>
        <w:rPr>
          <w:rFonts w:cs="Times New Roman"/>
          <w:kern w:val="0"/>
          <w:lang w:val="id-ID" w:eastAsia="zh-CN"/>
        </w:rPr>
      </w:pPr>
      <w:r w:rsidRPr="008F2B05">
        <w:t>The conclusions from this study include:</w:t>
      </w:r>
    </w:p>
    <w:p w:rsidR="00D46FD6" w:rsidRPr="00D46FD6" w:rsidRDefault="008F2B05" w:rsidP="00BD1544">
      <w:pPr>
        <w:pStyle w:val="ListParagraph"/>
        <w:numPr>
          <w:ilvl w:val="0"/>
          <w:numId w:val="15"/>
        </w:numPr>
        <w:ind w:leftChars="0" w:left="567" w:hanging="284"/>
      </w:pPr>
      <w:r w:rsidRPr="008F2B05">
        <w:rPr>
          <w:sz w:val="24"/>
        </w:rPr>
        <w:t>The Social forestry policy in Musi Banyuasin District, South Sumatra has been effectively implemented from the perspective of policy accuracy in resolving forestry problems and environmental accuracy in accepting policies.</w:t>
      </w:r>
    </w:p>
    <w:p w:rsidR="00B7618A" w:rsidRDefault="007C309B" w:rsidP="00BD1544">
      <w:pPr>
        <w:pStyle w:val="ListParagraph"/>
        <w:numPr>
          <w:ilvl w:val="0"/>
          <w:numId w:val="15"/>
        </w:numPr>
        <w:ind w:leftChars="0" w:left="567" w:hanging="284"/>
        <w:rPr>
          <w:sz w:val="24"/>
        </w:rPr>
      </w:pPr>
      <w:r w:rsidRPr="002A4F37">
        <w:rPr>
          <w:sz w:val="24"/>
        </w:rPr>
        <w:t xml:space="preserve">Factors in the implementation of social forestry policies include: the process of communication between implementing policies has been going well. At the basic level, communication is still not optimal between local level local governments, village governments and social forestry management groups. The resources used in implementing the policy can be said to be insufficient. These resources consist of: site level staff involved in organizing social forestry from the UPTD </w:t>
      </w:r>
      <w:r w:rsidR="00D46FD6" w:rsidRPr="002A4F37">
        <w:rPr>
          <w:sz w:val="24"/>
          <w:lang w:val="en-US"/>
        </w:rPr>
        <w:t>KPH Reg.</w:t>
      </w:r>
      <w:r w:rsidRPr="002A4F37">
        <w:rPr>
          <w:sz w:val="24"/>
        </w:rPr>
        <w:t xml:space="preserve"> I Meranti is insufficient in terms of quantity and quality. The budgetary resources for implementing social forestry are not sufficient both from the APBD and the APBN. Supporting resources in the form of technical rules are good in accommodating social forestry governance.</w:t>
      </w:r>
      <w:r w:rsidR="00D46FD6" w:rsidRPr="002A4F37">
        <w:rPr>
          <w:sz w:val="24"/>
        </w:rPr>
        <w:t xml:space="preserve">Authority in implementing this policy is the responsibility of the Directorate of Social Forestry and Environmental Partnerships (PSKL) coordinated with the Forestry </w:t>
      </w:r>
      <w:r w:rsidR="004640AC" w:rsidRPr="002A4F37">
        <w:rPr>
          <w:sz w:val="24"/>
          <w:lang w:val="en-US"/>
        </w:rPr>
        <w:t>office</w:t>
      </w:r>
      <w:r w:rsidR="00D46FD6" w:rsidRPr="002A4F37">
        <w:rPr>
          <w:sz w:val="24"/>
        </w:rPr>
        <w:t xml:space="preserve"> of South Sumatra Province (Social Forestry Section) and carried out at the site level through the UPTD</w:t>
      </w:r>
      <w:r w:rsidR="004640AC" w:rsidRPr="002A4F37">
        <w:rPr>
          <w:sz w:val="24"/>
          <w:lang w:val="en-US"/>
        </w:rPr>
        <w:t xml:space="preserve"> KPH Reg. 1</w:t>
      </w:r>
      <w:r w:rsidR="00D46FD6" w:rsidRPr="002A4F37">
        <w:rPr>
          <w:sz w:val="24"/>
        </w:rPr>
        <w:t xml:space="preserve"> Meranti. In its implementation together with various parties who are members of the Working Group on the Acceleration of Social Forestry (Pokja PPS) of South Sumatra Province. The object as well as the subject of this policy are the communities around the forest area that enter or hav</w:t>
      </w:r>
      <w:r w:rsidR="00F34763">
        <w:rPr>
          <w:sz w:val="24"/>
          <w:lang w:val="en-US"/>
        </w:rPr>
        <w:t xml:space="preserve">e </w:t>
      </w:r>
      <w:r w:rsidR="00D46FD6" w:rsidRPr="002A4F37">
        <w:rPr>
          <w:sz w:val="24"/>
        </w:rPr>
        <w:t>n</w:t>
      </w:r>
      <w:r w:rsidR="00F34763">
        <w:rPr>
          <w:sz w:val="24"/>
          <w:lang w:val="en-US"/>
        </w:rPr>
        <w:t>o</w:t>
      </w:r>
      <w:r w:rsidR="00D46FD6" w:rsidRPr="002A4F37">
        <w:rPr>
          <w:sz w:val="24"/>
        </w:rPr>
        <w:t xml:space="preserve">t yet entered the Indicative Map and Social Forestry Areas (PIAPS). Facilities used in policy implementation activities are not sufficient. Disposition in policy implementation has not been fully in accordance with the objectives or targets set because the management and members of the Gapoktan / KUD seem to be an exclusive group. In the aspect of bureaucratic structure, </w:t>
      </w:r>
      <w:r w:rsidR="00277E9E" w:rsidRPr="002A4F37">
        <w:rPr>
          <w:sz w:val="24"/>
          <w:lang w:val="en-US"/>
        </w:rPr>
        <w:t>social forestry</w:t>
      </w:r>
      <w:r w:rsidR="00D46FD6" w:rsidRPr="002A4F37">
        <w:rPr>
          <w:sz w:val="24"/>
        </w:rPr>
        <w:t xml:space="preserve"> implementation mechanism still seems top-down, Implementors prefer to fulfill SOPs rather than acting to meet the needs of the community. However, the SOP in this case the technical rules are sufficient to accommodate all policy </w:t>
      </w:r>
      <w:r w:rsidR="00D46FD6" w:rsidRPr="002A4F37">
        <w:rPr>
          <w:sz w:val="24"/>
        </w:rPr>
        <w:lastRenderedPageBreak/>
        <w:t>implementation needs. Basically</w:t>
      </w:r>
      <w:r w:rsidR="00D46FD6" w:rsidRPr="002A4F37">
        <w:rPr>
          <w:sz w:val="24"/>
          <w:lang w:val="en-US"/>
        </w:rPr>
        <w:t>,</w:t>
      </w:r>
      <w:r w:rsidR="00D46FD6" w:rsidRPr="002A4F37">
        <w:rPr>
          <w:sz w:val="24"/>
        </w:rPr>
        <w:t xml:space="preserve"> the community supports the existence of a social forestry policy because it can accommodate the needs of the community for the legality of access to forest areas.</w:t>
      </w:r>
    </w:p>
    <w:p w:rsidR="00085A6B" w:rsidRDefault="00085A6B" w:rsidP="00085A6B">
      <w:pPr>
        <w:rPr>
          <w:lang w:val="id-ID"/>
        </w:rPr>
      </w:pPr>
    </w:p>
    <w:p w:rsidR="00085A6B" w:rsidRDefault="00085A6B" w:rsidP="00085A6B">
      <w:pPr>
        <w:rPr>
          <w:lang w:val="id-ID"/>
        </w:rPr>
      </w:pPr>
    </w:p>
    <w:p w:rsidR="00085A6B" w:rsidRPr="00085A6B" w:rsidRDefault="00085A6B" w:rsidP="00085A6B">
      <w:pPr>
        <w:rPr>
          <w:lang w:val="id-ID"/>
        </w:rPr>
      </w:pPr>
    </w:p>
    <w:p w:rsidR="00DC1071" w:rsidRDefault="00DC1071" w:rsidP="007B18A2">
      <w:pPr>
        <w:ind w:firstLine="0"/>
        <w:outlineLvl w:val="0"/>
        <w:rPr>
          <w:b/>
        </w:rPr>
      </w:pPr>
      <w:bookmarkStart w:id="8" w:name="_GoBack"/>
      <w:bookmarkEnd w:id="8"/>
      <w:r>
        <w:rPr>
          <w:b/>
        </w:rPr>
        <w:t>References</w:t>
      </w:r>
    </w:p>
    <w:p w:rsidR="00F70037" w:rsidRPr="00F70037" w:rsidRDefault="00B40461" w:rsidP="00F70037">
      <w:pPr>
        <w:autoSpaceDE w:val="0"/>
        <w:autoSpaceDN w:val="0"/>
        <w:adjustRightInd w:val="0"/>
        <w:ind w:left="640" w:hanging="640"/>
        <w:rPr>
          <w:rFonts w:cs="Times New Roman"/>
          <w:noProof/>
          <w:szCs w:val="24"/>
        </w:rPr>
      </w:pPr>
      <w:r>
        <w:rPr>
          <w:b/>
        </w:rPr>
        <w:fldChar w:fldCharType="begin" w:fldLock="1"/>
      </w:r>
      <w:r w:rsidR="00F27049">
        <w:rPr>
          <w:b/>
        </w:rPr>
        <w:instrText xml:space="preserve">ADDIN Mendeley Bibliography CSL_BIBLIOGRAPHY </w:instrText>
      </w:r>
      <w:r>
        <w:rPr>
          <w:b/>
        </w:rPr>
        <w:fldChar w:fldCharType="separate"/>
      </w:r>
      <w:r w:rsidR="00F70037" w:rsidRPr="00F70037">
        <w:rPr>
          <w:rFonts w:cs="Times New Roman"/>
          <w:noProof/>
          <w:szCs w:val="24"/>
        </w:rPr>
        <w:t>[1]</w:t>
      </w:r>
      <w:r w:rsidR="00F70037" w:rsidRPr="00F70037">
        <w:rPr>
          <w:rFonts w:cs="Times New Roman"/>
          <w:noProof/>
          <w:szCs w:val="24"/>
        </w:rPr>
        <w:tab/>
        <w:t xml:space="preserve">C. Davis and R. Petersen, </w:t>
      </w:r>
      <w:r w:rsidR="00F70037" w:rsidRPr="00F70037">
        <w:rPr>
          <w:rFonts w:cs="Times New Roman"/>
          <w:i/>
          <w:iCs/>
          <w:noProof/>
          <w:szCs w:val="24"/>
        </w:rPr>
        <w:t>Tools for Monitoring Global Deforestation</w:t>
      </w:r>
      <w:r w:rsidR="00F70037" w:rsidRPr="00F70037">
        <w:rPr>
          <w:rFonts w:cs="Times New Roman"/>
          <w:noProof/>
          <w:szCs w:val="24"/>
        </w:rPr>
        <w:t>. Elsevier Inc.,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w:t>
      </w:r>
      <w:r w:rsidRPr="00F70037">
        <w:rPr>
          <w:rFonts w:cs="Times New Roman"/>
          <w:noProof/>
          <w:szCs w:val="24"/>
        </w:rPr>
        <w:tab/>
        <w:t xml:space="preserve">MEF [Ministry of Environment and Forestry Indonesia], </w:t>
      </w:r>
      <w:r w:rsidRPr="00F70037">
        <w:rPr>
          <w:rFonts w:cs="Times New Roman"/>
          <w:i/>
          <w:iCs/>
          <w:noProof/>
          <w:szCs w:val="24"/>
        </w:rPr>
        <w:t>The state of Indonesia’s forests 2018</w:t>
      </w:r>
      <w:r w:rsidRPr="00F70037">
        <w:rPr>
          <w:rFonts w:cs="Times New Roman"/>
          <w:noProof/>
          <w:szCs w:val="24"/>
        </w:rPr>
        <w:t>. Jakarta,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w:t>
      </w:r>
      <w:r w:rsidRPr="00F70037">
        <w:rPr>
          <w:rFonts w:cs="Times New Roman"/>
          <w:noProof/>
          <w:szCs w:val="24"/>
        </w:rPr>
        <w:tab/>
        <w:t xml:space="preserve">R. Tsujino, T. Yumoto, S. Kitamura, I. Djamaluddin, and D. Darnaedi, “History of forest loss and degradation in Indonesia,” </w:t>
      </w:r>
      <w:r w:rsidRPr="00F70037">
        <w:rPr>
          <w:rFonts w:cs="Times New Roman"/>
          <w:i/>
          <w:iCs/>
          <w:noProof/>
          <w:szCs w:val="24"/>
        </w:rPr>
        <w:t>Land use policy</w:t>
      </w:r>
      <w:r w:rsidRPr="00F70037">
        <w:rPr>
          <w:rFonts w:cs="Times New Roman"/>
          <w:noProof/>
          <w:szCs w:val="24"/>
        </w:rPr>
        <w:t>, vol. 57, pp. 335–347, 2016.</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[4]</w:t>
      </w:r>
      <w:r w:rsidRPr="00F70037">
        <w:rPr>
          <w:rFonts w:cs="Times New Roman"/>
          <w:noProof/>
          <w:szCs w:val="24"/>
        </w:rPr>
        <w:tab/>
        <w:t xml:space="preserve">S. A. Abood, J. S. H. Lee, Z. Burivalova, J. Garcia-Ulloa, and L. P. Koh, “Relative Contributions of the Logging, Fiber, Oil Palm, and Mining Industries to Forest Loss in Indonesia,” </w:t>
      </w:r>
      <w:r w:rsidRPr="00F70037">
        <w:rPr>
          <w:rFonts w:cs="Times New Roman"/>
          <w:i/>
          <w:iCs/>
          <w:noProof/>
          <w:szCs w:val="24"/>
        </w:rPr>
        <w:t>Conserv. Lett.</w:t>
      </w:r>
      <w:r w:rsidRPr="00F70037">
        <w:rPr>
          <w:rFonts w:cs="Times New Roman"/>
          <w:noProof/>
          <w:szCs w:val="24"/>
        </w:rPr>
        <w:t>, vol. 8, no. 1, pp. 58–67, 2015.</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[5]</w:t>
      </w:r>
      <w:r w:rsidRPr="00F70037">
        <w:rPr>
          <w:rFonts w:cs="Times New Roman"/>
          <w:noProof/>
          <w:szCs w:val="24"/>
        </w:rPr>
        <w:tab/>
        <w:t xml:space="preserve">MEF [Ministry of Environment and Forestry Indonesia], </w:t>
      </w:r>
      <w:r w:rsidRPr="00F70037">
        <w:rPr>
          <w:rFonts w:cs="Times New Roman"/>
          <w:i/>
          <w:iCs/>
          <w:noProof/>
          <w:szCs w:val="24"/>
        </w:rPr>
        <w:t>STATISTIK LINGKUNGAN HIDUP DAN KEHUTANAN TAHUN 2016</w:t>
      </w:r>
      <w:r w:rsidRPr="00F70037">
        <w:rPr>
          <w:rFonts w:cs="Times New Roman"/>
          <w:noProof/>
          <w:szCs w:val="24"/>
        </w:rPr>
        <w:t>. Jakarta,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[6]</w:t>
      </w:r>
      <w:r w:rsidRPr="00F70037">
        <w:rPr>
          <w:rFonts w:cs="Times New Roman"/>
          <w:noProof/>
          <w:szCs w:val="24"/>
        </w:rPr>
        <w:tab/>
        <w:t xml:space="preserve">MEF [Ministry of Environment and Forestry Indonesia], </w:t>
      </w:r>
      <w:r w:rsidRPr="00F70037">
        <w:rPr>
          <w:rFonts w:cs="Times New Roman"/>
          <w:i/>
          <w:iCs/>
          <w:noProof/>
          <w:szCs w:val="24"/>
        </w:rPr>
        <w:t>STATISTIK LINGKUNGAN HIDUP DAN KEHUTANAN TAHUN 2017</w:t>
      </w:r>
      <w:r w:rsidRPr="00F70037">
        <w:rPr>
          <w:rFonts w:cs="Times New Roman"/>
          <w:noProof/>
          <w:szCs w:val="24"/>
        </w:rPr>
        <w:t>. Jakarta: Ministry of Environment and Forestry Indonesia,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[7]</w:t>
      </w:r>
      <w:r w:rsidRPr="00F70037">
        <w:rPr>
          <w:rFonts w:cs="Times New Roman"/>
          <w:noProof/>
          <w:szCs w:val="24"/>
        </w:rPr>
        <w:tab/>
        <w:t xml:space="preserve">C. Yamamoto, C. Ishimura, C. Shigetomi, and C. Chobe, “Forest change and agricultural productivity: Evidence from Indonesia,” </w:t>
      </w:r>
      <w:r w:rsidRPr="00F70037">
        <w:rPr>
          <w:rFonts w:cs="Times New Roman"/>
          <w:i/>
          <w:iCs/>
          <w:noProof/>
          <w:szCs w:val="24"/>
        </w:rPr>
        <w:t>World Dev.</w:t>
      </w:r>
      <w:r w:rsidRPr="00F70037">
        <w:rPr>
          <w:rFonts w:cs="Times New Roman"/>
          <w:noProof/>
          <w:szCs w:val="24"/>
        </w:rPr>
        <w:t>, vol. 114, pp. 196–207, 2019.</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[8]</w:t>
      </w:r>
      <w:r w:rsidRPr="00F70037">
        <w:rPr>
          <w:rFonts w:cs="Times New Roman"/>
          <w:noProof/>
          <w:szCs w:val="24"/>
        </w:rPr>
        <w:tab/>
        <w:t xml:space="preserve">C. Kubitza, V. V. Krishna, K. Urban, Z. Alamsyah, and M. Qaim, “Land Property Rights, Agricultural Intensification, and Deforestation in Indonesia,” </w:t>
      </w:r>
      <w:r w:rsidRPr="00F70037">
        <w:rPr>
          <w:rFonts w:cs="Times New Roman"/>
          <w:i/>
          <w:iCs/>
          <w:noProof/>
          <w:szCs w:val="24"/>
        </w:rPr>
        <w:t>Ecol. Econ.</w:t>
      </w:r>
      <w:r w:rsidRPr="00F70037">
        <w:rPr>
          <w:rFonts w:cs="Times New Roman"/>
          <w:noProof/>
          <w:szCs w:val="24"/>
        </w:rPr>
        <w:t>, vol. 147, no. February, pp. 312–321,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[9]</w:t>
      </w:r>
      <w:r w:rsidRPr="00F70037">
        <w:rPr>
          <w:rFonts w:cs="Times New Roman"/>
          <w:noProof/>
          <w:szCs w:val="24"/>
        </w:rPr>
        <w:tab/>
        <w:t xml:space="preserve">A. Susanti and A. Maryudi, “Development narratives, notions of forest crisis, and boom of oil palm plantations in Indonesia,” </w:t>
      </w:r>
      <w:r w:rsidRPr="00F70037">
        <w:rPr>
          <w:rFonts w:cs="Times New Roman"/>
          <w:i/>
          <w:iCs/>
          <w:noProof/>
          <w:szCs w:val="24"/>
        </w:rPr>
        <w:t>For. Policy Econ.</w:t>
      </w:r>
      <w:r w:rsidRPr="00F70037">
        <w:rPr>
          <w:rFonts w:cs="Times New Roman"/>
          <w:noProof/>
          <w:szCs w:val="24"/>
        </w:rPr>
        <w:t>, vol. 73, pp. 130–139, 2016.</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[10]</w:t>
      </w:r>
      <w:r w:rsidRPr="00F70037">
        <w:rPr>
          <w:rFonts w:cs="Times New Roman"/>
          <w:noProof/>
          <w:szCs w:val="24"/>
        </w:rPr>
        <w:tab/>
        <w:t xml:space="preserve">H. Varkkey, A. Tyson, and S. A. B. Choiruzzad, “Palm oil intensification and expansion in Indonesia and Malaysia: Environmental and socio-political factors influencing policy,” </w:t>
      </w:r>
      <w:r w:rsidRPr="00F70037">
        <w:rPr>
          <w:rFonts w:cs="Times New Roman"/>
          <w:i/>
          <w:iCs/>
          <w:noProof/>
          <w:szCs w:val="24"/>
        </w:rPr>
        <w:t>For. Policy Econ.</w:t>
      </w:r>
      <w:r w:rsidRPr="00F70037">
        <w:rPr>
          <w:rFonts w:cs="Times New Roman"/>
          <w:noProof/>
          <w:szCs w:val="24"/>
        </w:rPr>
        <w:t>, vol. 92, no. May, pp. 148–159,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[11]</w:t>
      </w:r>
      <w:r w:rsidRPr="00F70037">
        <w:rPr>
          <w:rFonts w:cs="Times New Roman"/>
          <w:noProof/>
          <w:szCs w:val="24"/>
        </w:rPr>
        <w:tab/>
        <w:t xml:space="preserve">E. N. Setiawan, A. Maryudi, R. H. Purwanto, and G. Lele, “Land Use Policy Opposing interests in the legalization of non-procedural forest conversion to oil palm in Central Kalimantan , Indonesia,” </w:t>
      </w:r>
      <w:r w:rsidRPr="00F70037">
        <w:rPr>
          <w:rFonts w:cs="Times New Roman"/>
          <w:i/>
          <w:iCs/>
          <w:noProof/>
          <w:szCs w:val="24"/>
        </w:rPr>
        <w:t>Land use policy</w:t>
      </w:r>
      <w:r w:rsidRPr="00F70037">
        <w:rPr>
          <w:rFonts w:cs="Times New Roman"/>
          <w:noProof/>
          <w:szCs w:val="24"/>
        </w:rPr>
        <w:t>, vol. 58, pp. 472–481, 2016.</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[12]</w:t>
      </w:r>
      <w:r w:rsidRPr="00F70037">
        <w:rPr>
          <w:rFonts w:cs="Times New Roman"/>
          <w:noProof/>
          <w:szCs w:val="24"/>
        </w:rPr>
        <w:tab/>
        <w:t xml:space="preserve">H. Adnan, H. Berliani, G. Hardiyanto, Suwito, and D. K. Sakti, </w:t>
      </w:r>
      <w:r w:rsidRPr="00F70037">
        <w:rPr>
          <w:rFonts w:cs="Times New Roman"/>
          <w:i/>
          <w:iCs/>
          <w:noProof/>
          <w:szCs w:val="24"/>
        </w:rPr>
        <w:t>Pemberdayaan Masyarakat melalui Kemitraan Kehutanan. Panduan</w:t>
      </w:r>
      <w:r w:rsidRPr="00F70037">
        <w:rPr>
          <w:rFonts w:cs="Times New Roman"/>
          <w:noProof/>
          <w:szCs w:val="24"/>
        </w:rPr>
        <w:t>. 2015.</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[13]</w:t>
      </w:r>
      <w:r w:rsidRPr="00F70037">
        <w:rPr>
          <w:rFonts w:cs="Times New Roman"/>
          <w:noProof/>
          <w:szCs w:val="24"/>
        </w:rPr>
        <w:tab/>
        <w:t xml:space="preserve">L. Giessen and G. Buttoud, “Defining and assessing forest governance,” </w:t>
      </w:r>
      <w:r w:rsidRPr="00F70037">
        <w:rPr>
          <w:rFonts w:cs="Times New Roman"/>
          <w:i/>
          <w:iCs/>
          <w:noProof/>
          <w:szCs w:val="24"/>
        </w:rPr>
        <w:t>For. Policy Econ. J.</w:t>
      </w:r>
      <w:r w:rsidRPr="00F70037">
        <w:rPr>
          <w:rFonts w:cs="Times New Roman"/>
          <w:noProof/>
          <w:szCs w:val="24"/>
        </w:rPr>
        <w:t>, vol. 49, pp. 1–3, 2014.</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[14]</w:t>
      </w:r>
      <w:r w:rsidRPr="00F70037">
        <w:rPr>
          <w:rFonts w:cs="Times New Roman"/>
          <w:noProof/>
          <w:szCs w:val="24"/>
        </w:rPr>
        <w:tab/>
        <w:t xml:space="preserve">A. Maryudi </w:t>
      </w:r>
      <w:r w:rsidRPr="00F70037">
        <w:rPr>
          <w:rFonts w:cs="Times New Roman"/>
          <w:i/>
          <w:iCs/>
          <w:noProof/>
          <w:szCs w:val="24"/>
        </w:rPr>
        <w:t>et al.</w:t>
      </w:r>
      <w:r w:rsidRPr="00F70037">
        <w:rPr>
          <w:rFonts w:cs="Times New Roman"/>
          <w:noProof/>
          <w:szCs w:val="24"/>
        </w:rPr>
        <w:t xml:space="preserve">, “Back to basics : Considerations in evaluating the outcomes of community forestry,” </w:t>
      </w:r>
      <w:r w:rsidRPr="00F70037">
        <w:rPr>
          <w:rFonts w:cs="Times New Roman"/>
          <w:i/>
          <w:iCs/>
          <w:noProof/>
          <w:szCs w:val="24"/>
        </w:rPr>
        <w:t>For. Policy Econ.</w:t>
      </w:r>
      <w:r w:rsidRPr="00F70037">
        <w:rPr>
          <w:rFonts w:cs="Times New Roman"/>
          <w:noProof/>
          <w:szCs w:val="24"/>
        </w:rPr>
        <w:t>, vol. 14, no. 1, pp. 1–5, 2012.</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[15]</w:t>
      </w:r>
      <w:r w:rsidRPr="00F70037">
        <w:rPr>
          <w:rFonts w:cs="Times New Roman"/>
          <w:noProof/>
          <w:szCs w:val="24"/>
        </w:rPr>
        <w:tab/>
        <w:t xml:space="preserve">T. Santika </w:t>
      </w:r>
      <w:r w:rsidRPr="00F70037">
        <w:rPr>
          <w:rFonts w:cs="Times New Roman"/>
          <w:i/>
          <w:iCs/>
          <w:noProof/>
          <w:szCs w:val="24"/>
        </w:rPr>
        <w:t>et al.</w:t>
      </w:r>
      <w:r w:rsidRPr="00F70037">
        <w:rPr>
          <w:rFonts w:cs="Times New Roman"/>
          <w:noProof/>
          <w:szCs w:val="24"/>
        </w:rPr>
        <w:t xml:space="preserve">, “Community forest management in Indonesia: Avoided deforestation in the context of anthropogenic and climate complexities,” </w:t>
      </w:r>
      <w:r w:rsidRPr="00F70037">
        <w:rPr>
          <w:rFonts w:cs="Times New Roman"/>
          <w:i/>
          <w:iCs/>
          <w:noProof/>
          <w:szCs w:val="24"/>
        </w:rPr>
        <w:t>Glob. Environ. Chang.</w:t>
      </w:r>
      <w:r w:rsidRPr="00F70037">
        <w:rPr>
          <w:rFonts w:cs="Times New Roman"/>
          <w:noProof/>
          <w:szCs w:val="24"/>
        </w:rPr>
        <w:t>, vol. 46, no. December 2016, pp. 60–71,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[16]</w:t>
      </w:r>
      <w:r w:rsidRPr="00F70037">
        <w:rPr>
          <w:rFonts w:cs="Times New Roman"/>
          <w:noProof/>
          <w:szCs w:val="24"/>
        </w:rPr>
        <w:tab/>
        <w:t xml:space="preserve">J. Baynes, J. Herbohn, C. Smith, R. Fisher, and D. Bray, “Key factors which </w:t>
      </w:r>
      <w:r w:rsidRPr="00F70037">
        <w:rPr>
          <w:rFonts w:cs="Times New Roman"/>
          <w:noProof/>
          <w:szCs w:val="24"/>
        </w:rPr>
        <w:lastRenderedPageBreak/>
        <w:t xml:space="preserve">influence the success of community forestry in developing countries,” </w:t>
      </w:r>
      <w:r w:rsidRPr="00F70037">
        <w:rPr>
          <w:rFonts w:cs="Times New Roman"/>
          <w:i/>
          <w:iCs/>
          <w:noProof/>
          <w:szCs w:val="24"/>
        </w:rPr>
        <w:t>Glob. Environ. Chang.</w:t>
      </w:r>
      <w:r w:rsidRPr="00F70037">
        <w:rPr>
          <w:rFonts w:cs="Times New Roman"/>
          <w:noProof/>
          <w:szCs w:val="24"/>
        </w:rPr>
        <w:t>, vol. 35, pp. 226–238, 2015.</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[17]</w:t>
      </w:r>
      <w:r w:rsidRPr="00F70037">
        <w:rPr>
          <w:rFonts w:cs="Times New Roman"/>
          <w:noProof/>
          <w:szCs w:val="24"/>
        </w:rPr>
        <w:tab/>
        <w:t xml:space="preserve">Agustini Syofia, A. H. Dharmawan, and E. I. K. Putri, “Bentuk Pengelolaan Hutan Nagari Sungai Buluh Kabupaten Padang Pariaman,” </w:t>
      </w:r>
      <w:r w:rsidRPr="00F70037">
        <w:rPr>
          <w:rFonts w:cs="Times New Roman"/>
          <w:i/>
          <w:iCs/>
          <w:noProof/>
          <w:szCs w:val="24"/>
        </w:rPr>
        <w:t>Bhumi</w:t>
      </w:r>
      <w:r w:rsidRPr="00F70037">
        <w:rPr>
          <w:rFonts w:cs="Times New Roman"/>
          <w:noProof/>
          <w:szCs w:val="24"/>
        </w:rPr>
        <w:t>, vol. 3, no. November, pp. 267–278,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[18]</w:t>
      </w:r>
      <w:r w:rsidRPr="00F70037">
        <w:rPr>
          <w:rFonts w:cs="Times New Roman"/>
          <w:noProof/>
          <w:szCs w:val="24"/>
        </w:rPr>
        <w:tab/>
        <w:t>I. Santoso, “Indonesian forestry policy and management,” 2012, no. October.</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[19]</w:t>
      </w:r>
      <w:r w:rsidRPr="00F70037">
        <w:rPr>
          <w:rFonts w:cs="Times New Roman"/>
          <w:noProof/>
          <w:szCs w:val="24"/>
        </w:rPr>
        <w:tab/>
        <w:t xml:space="preserve">E. Furness, H. Harshaw, and H. Nelson, “Forest Policy and Economics Community forestry in British Columbia : Policy progression and public participation </w:t>
      </w:r>
      <w:r w:rsidRPr="00F70037">
        <w:rPr>
          <w:rFonts w:ascii="Segoe UI Symbol" w:hAnsi="Segoe UI Symbol" w:cs="Segoe UI Symbol"/>
          <w:noProof/>
          <w:szCs w:val="24"/>
        </w:rPr>
        <w:t>☆</w:t>
      </w:r>
      <w:r w:rsidRPr="00F70037">
        <w:rPr>
          <w:rFonts w:cs="Times New Roman"/>
          <w:noProof/>
          <w:szCs w:val="24"/>
        </w:rPr>
        <w:t xml:space="preserve">,” </w:t>
      </w:r>
      <w:r w:rsidRPr="00F70037">
        <w:rPr>
          <w:rFonts w:cs="Times New Roman"/>
          <w:i/>
          <w:iCs/>
          <w:noProof/>
          <w:szCs w:val="24"/>
        </w:rPr>
        <w:t>For. Policy Econ.</w:t>
      </w:r>
      <w:r w:rsidRPr="00F70037">
        <w:rPr>
          <w:rFonts w:cs="Times New Roman"/>
          <w:noProof/>
          <w:szCs w:val="24"/>
        </w:rPr>
        <w:t>, vol. 58, pp. 85–91, 2015.</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[20]</w:t>
      </w:r>
      <w:r w:rsidRPr="00F70037">
        <w:rPr>
          <w:rFonts w:cs="Times New Roman"/>
          <w:noProof/>
          <w:szCs w:val="24"/>
        </w:rPr>
        <w:tab/>
        <w:t xml:space="preserve">Republik Indonesia, </w:t>
      </w:r>
      <w:r w:rsidRPr="00F70037">
        <w:rPr>
          <w:rFonts w:cs="Times New Roman"/>
          <w:i/>
          <w:iCs/>
          <w:noProof/>
          <w:szCs w:val="24"/>
        </w:rPr>
        <w:t>UNDANG-UNDANG REPUBLIK INDONESIA NOMOR 41 TAHUN 1999 TENTANG KEHUTANAN</w:t>
      </w:r>
      <w:r w:rsidRPr="00F70037">
        <w:rPr>
          <w:rFonts w:cs="Times New Roman"/>
          <w:noProof/>
          <w:szCs w:val="24"/>
        </w:rPr>
        <w:t>. Indonesia, 1999.</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[21]</w:t>
      </w:r>
      <w:r w:rsidRPr="00F70037">
        <w:rPr>
          <w:rFonts w:cs="Times New Roman"/>
          <w:noProof/>
          <w:szCs w:val="24"/>
        </w:rPr>
        <w:tab/>
        <w:t xml:space="preserve">Kementerian Lingkungan Hidup Dan Kehutanan, </w:t>
      </w:r>
      <w:r w:rsidRPr="00F70037">
        <w:rPr>
          <w:rFonts w:cs="Times New Roman"/>
          <w:i/>
          <w:iCs/>
          <w:noProof/>
          <w:szCs w:val="24"/>
        </w:rPr>
        <w:t>PermenLHK Nomor P.83/MENLHK/SETJEN/KUM.1/10/2016 Tentang Perhutanan Sosial</w:t>
      </w:r>
      <w:r w:rsidRPr="00F70037">
        <w:rPr>
          <w:rFonts w:cs="Times New Roman"/>
          <w:noProof/>
          <w:szCs w:val="24"/>
        </w:rPr>
        <w:t>. 2016.</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[22]</w:t>
      </w:r>
      <w:r w:rsidRPr="00F70037">
        <w:rPr>
          <w:rFonts w:cs="Times New Roman"/>
          <w:noProof/>
          <w:szCs w:val="24"/>
        </w:rPr>
        <w:tab/>
        <w:t>Rahmina, “Pilihan skema pengelolaan hutan berbasis masyarakat dalam mitigasi perubahan iklim,” 2012.</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[23]</w:t>
      </w:r>
      <w:r w:rsidRPr="00F70037">
        <w:rPr>
          <w:rFonts w:cs="Times New Roman"/>
          <w:noProof/>
          <w:szCs w:val="24"/>
        </w:rPr>
        <w:tab/>
        <w:t>E. Rosdiana, “Skema-Skema Pemberdayaan,” 2007.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[24]</w:t>
      </w:r>
      <w:r w:rsidRPr="00F70037">
        <w:rPr>
          <w:rFonts w:cs="Times New Roman"/>
          <w:noProof/>
          <w:szCs w:val="24"/>
        </w:rPr>
        <w:tab/>
        <w:t xml:space="preserve">Republik Indonesia, </w:t>
      </w:r>
      <w:r w:rsidRPr="00F70037">
        <w:rPr>
          <w:rFonts w:cs="Times New Roman"/>
          <w:i/>
          <w:iCs/>
          <w:noProof/>
          <w:szCs w:val="24"/>
        </w:rPr>
        <w:t>RENCANA PEMBANGUNAN JANGKA MENENGAH NASIONAL 2015-2019</w:t>
      </w:r>
      <w:r w:rsidRPr="00F70037">
        <w:rPr>
          <w:rFonts w:cs="Times New Roman"/>
          <w:noProof/>
          <w:szCs w:val="24"/>
        </w:rPr>
        <w:t>. Indonesia, 2019.</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[25]</w:t>
      </w:r>
      <w:r w:rsidRPr="00F70037">
        <w:rPr>
          <w:rFonts w:cs="Times New Roman"/>
          <w:noProof/>
          <w:szCs w:val="24"/>
        </w:rPr>
        <w:tab/>
        <w:t>Dinas Kehutanan Provinsi Sumatera Selatan, “LAPORAN MONITORING IZIN PERHUTANAN SOSIAL DI WILAYAH UPTD KPH PROVINSI SUMATERA SELATAN,” Palembang,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[26]</w:t>
      </w:r>
      <w:r w:rsidRPr="00F70037">
        <w:rPr>
          <w:rFonts w:cs="Times New Roman"/>
          <w:noProof/>
          <w:szCs w:val="24"/>
        </w:rPr>
        <w:tab/>
        <w:t xml:space="preserve">J. P. Napitu, A. Hidayat, S. Basuni, and S. Sjaf, “Conflicts of Utilization and Sustainable Production Forest Management n Forest in Management Unit of Meranti South Sumatera,” </w:t>
      </w:r>
      <w:r w:rsidRPr="00F70037">
        <w:rPr>
          <w:rFonts w:cs="Times New Roman"/>
          <w:i/>
          <w:iCs/>
          <w:noProof/>
          <w:szCs w:val="24"/>
        </w:rPr>
        <w:t>J. Manaj. Hutan Trop.</w:t>
      </w:r>
      <w:r w:rsidRPr="00F70037">
        <w:rPr>
          <w:rFonts w:cs="Times New Roman"/>
          <w:noProof/>
          <w:szCs w:val="24"/>
        </w:rPr>
        <w:t>, vol. 23, no. December,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[27]</w:t>
      </w:r>
      <w:r w:rsidRPr="00F70037">
        <w:rPr>
          <w:rFonts w:cs="Times New Roman"/>
          <w:noProof/>
          <w:szCs w:val="24"/>
        </w:rPr>
        <w:tab/>
        <w:t xml:space="preserve">Zulfikhar, H. Zulkifli, S. Kadir, and I. Iskandar, “The Rapid Changes of the Landscape Structure of the Meranti-Dangku Tropical Lowland Forest in the South Sumatra Province , Indonesia,” </w:t>
      </w:r>
      <w:r w:rsidRPr="00F70037">
        <w:rPr>
          <w:rFonts w:cs="Times New Roman"/>
          <w:i/>
          <w:iCs/>
          <w:noProof/>
          <w:szCs w:val="24"/>
        </w:rPr>
        <w:t>Sriwij. J. Environ.</w:t>
      </w:r>
      <w:r w:rsidRPr="00F70037">
        <w:rPr>
          <w:rFonts w:cs="Times New Roman"/>
          <w:noProof/>
          <w:szCs w:val="24"/>
        </w:rPr>
        <w:t>, vol. 2, no. 1, pp. 8–18,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[28]</w:t>
      </w:r>
      <w:r w:rsidRPr="00F70037">
        <w:rPr>
          <w:rFonts w:cs="Times New Roman"/>
          <w:noProof/>
          <w:szCs w:val="24"/>
        </w:rPr>
        <w:tab/>
        <w:t xml:space="preserve">D. Amalia, J. Sayer, C. Margules, and A. Klintuni, “Forest Policy and Economics Determining the effectiveness of forest landscape governance : A case study from the Sendang landscape , South Sumatra,” </w:t>
      </w:r>
      <w:r w:rsidRPr="00F70037">
        <w:rPr>
          <w:rFonts w:cs="Times New Roman"/>
          <w:i/>
          <w:iCs/>
          <w:noProof/>
          <w:szCs w:val="24"/>
        </w:rPr>
        <w:t>For. Policy Econ.</w:t>
      </w:r>
      <w:r w:rsidRPr="00F70037">
        <w:rPr>
          <w:rFonts w:cs="Times New Roman"/>
          <w:noProof/>
          <w:szCs w:val="24"/>
        </w:rPr>
        <w:t>, vol. 102, no. February 2018, pp. 17–28, 2019.</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[29]</w:t>
      </w:r>
      <w:r w:rsidRPr="00F70037">
        <w:rPr>
          <w:rFonts w:cs="Times New Roman"/>
          <w:noProof/>
          <w:szCs w:val="24"/>
        </w:rPr>
        <w:tab/>
        <w:t xml:space="preserve">J. Harbi, J. Thomas, M. Sidiq, and B. Haasler, “Forest Policy and Economics Making a bridge between livelihoods and forest conservation : Lessons from non timber forest products ’ utilization in South Sumatera , INDONESIA,” </w:t>
      </w:r>
      <w:r w:rsidRPr="00F70037">
        <w:rPr>
          <w:rFonts w:cs="Times New Roman"/>
          <w:i/>
          <w:iCs/>
          <w:noProof/>
          <w:szCs w:val="24"/>
        </w:rPr>
        <w:t>For. Policy Econ.</w:t>
      </w:r>
      <w:r w:rsidRPr="00F70037">
        <w:rPr>
          <w:rFonts w:cs="Times New Roman"/>
          <w:noProof/>
          <w:szCs w:val="24"/>
        </w:rPr>
        <w:t>, vol. 94, no. May, pp. 1–10,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[30]</w:t>
      </w:r>
      <w:r w:rsidRPr="00F70037">
        <w:rPr>
          <w:rFonts w:cs="Times New Roman"/>
          <w:noProof/>
          <w:szCs w:val="24"/>
        </w:rPr>
        <w:tab/>
        <w:t xml:space="preserve">S. Yunardy </w:t>
      </w:r>
      <w:r w:rsidRPr="00F70037">
        <w:rPr>
          <w:rFonts w:cs="Times New Roman"/>
          <w:i/>
          <w:iCs/>
          <w:noProof/>
          <w:szCs w:val="24"/>
        </w:rPr>
        <w:t>et al.</w:t>
      </w:r>
      <w:r w:rsidRPr="00F70037">
        <w:rPr>
          <w:rFonts w:cs="Times New Roman"/>
          <w:noProof/>
          <w:szCs w:val="24"/>
        </w:rPr>
        <w:t>, “Pemetaan Lahan Terdegradasi dan Penentuan Prioritas Areal Rehabilitasi Skala Lansekap di KPHP Meranti, Provinsi Sumatera Selatan,” Palembang,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[31]</w:t>
      </w:r>
      <w:r w:rsidRPr="00F70037">
        <w:rPr>
          <w:rFonts w:cs="Times New Roman"/>
          <w:noProof/>
          <w:szCs w:val="24"/>
        </w:rPr>
        <w:tab/>
        <w:t xml:space="preserve">J. P. Napitu, A. Hidayat, S. Basuni, and S. Sjaf, “Mekanisme Akses Pada Hak Kepemilikan Di Kesatuan Pengelolaan Hutan Produksi Meranti, Sumatera Selatan,” </w:t>
      </w:r>
      <w:r w:rsidRPr="00F70037">
        <w:rPr>
          <w:rFonts w:cs="Times New Roman"/>
          <w:i/>
          <w:iCs/>
          <w:noProof/>
          <w:szCs w:val="24"/>
        </w:rPr>
        <w:t>J. Penelit. Sos. dan Ekon. Kehutan.</w:t>
      </w:r>
      <w:r w:rsidRPr="00F70037">
        <w:rPr>
          <w:rFonts w:cs="Times New Roman"/>
          <w:noProof/>
          <w:szCs w:val="24"/>
        </w:rPr>
        <w:t>, vol. 14, no. 2, pp. 101–118,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[32]</w:t>
      </w:r>
      <w:r w:rsidRPr="00F70037">
        <w:rPr>
          <w:rFonts w:cs="Times New Roman"/>
          <w:noProof/>
          <w:szCs w:val="24"/>
        </w:rPr>
        <w:tab/>
        <w:t>UPTD KPH Wil I Meranti, “Data KTH UPTD KPH Wil I Meranti,”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[33]</w:t>
      </w:r>
      <w:r w:rsidRPr="00F70037">
        <w:rPr>
          <w:rFonts w:cs="Times New Roman"/>
          <w:noProof/>
          <w:szCs w:val="24"/>
        </w:rPr>
        <w:tab/>
        <w:t xml:space="preserve">F. K. Kalaba, “Forest Policy and Economics Barriers to policy implementation and implications for Zambia ’ s forest ecosystems,” </w:t>
      </w:r>
      <w:r w:rsidRPr="00F70037">
        <w:rPr>
          <w:rFonts w:cs="Times New Roman"/>
          <w:i/>
          <w:iCs/>
          <w:noProof/>
          <w:szCs w:val="24"/>
        </w:rPr>
        <w:t>For. Policy Econ.</w:t>
      </w:r>
      <w:r w:rsidRPr="00F70037">
        <w:rPr>
          <w:rFonts w:cs="Times New Roman"/>
          <w:noProof/>
          <w:szCs w:val="24"/>
        </w:rPr>
        <w:t>, vol. 69, pp. 40–44, 2016.</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[34]</w:t>
      </w:r>
      <w:r w:rsidRPr="00F70037">
        <w:rPr>
          <w:rFonts w:cs="Times New Roman"/>
          <w:noProof/>
          <w:szCs w:val="24"/>
        </w:rPr>
        <w:tab/>
        <w:t xml:space="preserve">A. Kusumandari and P. Nugroho, “Land capability analysis based on hydrology and soil characteristics for watershed rehabilitation,” in </w:t>
      </w:r>
      <w:r w:rsidRPr="00F70037">
        <w:rPr>
          <w:rFonts w:cs="Times New Roman"/>
          <w:i/>
          <w:iCs/>
          <w:noProof/>
          <w:szCs w:val="24"/>
        </w:rPr>
        <w:t xml:space="preserve">Procedia Environmental </w:t>
      </w:r>
      <w:r w:rsidRPr="00F70037">
        <w:rPr>
          <w:rFonts w:cs="Times New Roman"/>
          <w:i/>
          <w:iCs/>
          <w:noProof/>
          <w:szCs w:val="24"/>
        </w:rPr>
        <w:lastRenderedPageBreak/>
        <w:t>Sciences</w:t>
      </w:r>
      <w:r w:rsidRPr="00F70037">
        <w:rPr>
          <w:rFonts w:cs="Times New Roman"/>
          <w:noProof/>
          <w:szCs w:val="24"/>
        </w:rPr>
        <w:t>, 2015, vol. 28, no. The 5th Sustainable Future for Human Security (SustaiN 2014), pp. 142–147.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[35]</w:t>
      </w:r>
      <w:r w:rsidRPr="00F70037">
        <w:rPr>
          <w:rFonts w:cs="Times New Roman"/>
          <w:noProof/>
          <w:szCs w:val="24"/>
        </w:rPr>
        <w:tab/>
        <w:t xml:space="preserve">Republik Indonesia, </w:t>
      </w:r>
      <w:r w:rsidRPr="00F70037">
        <w:rPr>
          <w:rFonts w:cs="Times New Roman"/>
          <w:i/>
          <w:iCs/>
          <w:noProof/>
          <w:szCs w:val="24"/>
        </w:rPr>
        <w:t>Peraturan Pemerintah Republik Indonesia Nomor 6 Tahun 2007 Tentang Tata Hutan dan Penyusunan Rencana Pengelolaan Hutan, Serta Pemanfaatan Hutan</w:t>
      </w:r>
      <w:r w:rsidRPr="00F70037">
        <w:rPr>
          <w:rFonts w:cs="Times New Roman"/>
          <w:noProof/>
          <w:szCs w:val="24"/>
        </w:rPr>
        <w:t>. 2007, pp. 1–88.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[36]</w:t>
      </w:r>
      <w:r w:rsidRPr="00F70037">
        <w:rPr>
          <w:rFonts w:cs="Times New Roman"/>
          <w:noProof/>
          <w:szCs w:val="24"/>
        </w:rPr>
        <w:tab/>
        <w:t xml:space="preserve">Republik Indonesia, </w:t>
      </w:r>
      <w:r w:rsidRPr="00F70037">
        <w:rPr>
          <w:rFonts w:cs="Times New Roman"/>
          <w:i/>
          <w:iCs/>
          <w:noProof/>
          <w:szCs w:val="24"/>
        </w:rPr>
        <w:t>Peraturan Presiden Republik Indonesia Nomor 88 Tahun 2017 Tentang Penyelesaian Penguasaan Tanah dalam Kawasan Hutan</w:t>
      </w:r>
      <w:r w:rsidRPr="00F70037">
        <w:rPr>
          <w:rFonts w:cs="Times New Roman"/>
          <w:noProof/>
          <w:szCs w:val="24"/>
        </w:rPr>
        <w:t>, no. Lembaran Negara Republik Indonesia nomor 196, 2017. 2017.</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[37]</w:t>
      </w:r>
      <w:r w:rsidRPr="00F70037">
        <w:rPr>
          <w:rFonts w:cs="Times New Roman"/>
          <w:noProof/>
          <w:szCs w:val="24"/>
        </w:rPr>
        <w:tab/>
        <w:t xml:space="preserve">S. Ekawati and D. R. Nurrochmat, “HUBUNGAN MODAL SOSIAL DENGAN PEMANFAATAN DAN KELESTARIAN HUTAN LINDUNG,” </w:t>
      </w:r>
      <w:r w:rsidRPr="00F70037">
        <w:rPr>
          <w:rFonts w:cs="Times New Roman"/>
          <w:i/>
          <w:iCs/>
          <w:noProof/>
          <w:szCs w:val="24"/>
        </w:rPr>
        <w:t>J. Anal. Kebijak. Kehutan.</w:t>
      </w:r>
      <w:r w:rsidRPr="00F70037">
        <w:rPr>
          <w:rFonts w:cs="Times New Roman"/>
          <w:noProof/>
          <w:szCs w:val="24"/>
        </w:rPr>
        <w:t>, vol. 11 (1), no. April, pp. 40–53, 2014.</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[38]</w:t>
      </w:r>
      <w:r w:rsidRPr="00F70037">
        <w:rPr>
          <w:rFonts w:cs="Times New Roman"/>
          <w:noProof/>
          <w:szCs w:val="24"/>
        </w:rPr>
        <w:tab/>
        <w:t xml:space="preserve">C. Wulandari, P. Budiono, and D. R. Nurrochmat, “KESIAPAN DAERAH DALAM IMPLEMENTASIKAN PROGRAM TENTANG PEMERINTAHAN DAERAH,” </w:t>
      </w:r>
      <w:r w:rsidRPr="00F70037">
        <w:rPr>
          <w:rFonts w:cs="Times New Roman"/>
          <w:i/>
          <w:iCs/>
          <w:noProof/>
          <w:szCs w:val="24"/>
        </w:rPr>
        <w:t>Risal. Kebijak. Pertan. dan Lingkung.</w:t>
      </w:r>
      <w:r w:rsidRPr="00F70037">
        <w:rPr>
          <w:rFonts w:cs="Times New Roman"/>
          <w:noProof/>
          <w:szCs w:val="24"/>
        </w:rPr>
        <w:t>, vol. 3 (2), no. Agustus, pp. 108–116, 2016.</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[39]</w:t>
      </w:r>
      <w:r w:rsidRPr="00F70037">
        <w:rPr>
          <w:rFonts w:cs="Times New Roman"/>
          <w:noProof/>
          <w:szCs w:val="24"/>
        </w:rPr>
        <w:tab/>
        <w:t xml:space="preserve">E. Wilujeng, “Implementasi Kebijakan Pengelolaan Hutan Bersama Masyarakat (PHBM) dalam Rangka Pelestarian Hutan Di KPH Blora,” </w:t>
      </w:r>
      <w:r w:rsidRPr="00F70037">
        <w:rPr>
          <w:rFonts w:cs="Times New Roman"/>
          <w:i/>
          <w:iCs/>
          <w:noProof/>
          <w:szCs w:val="24"/>
        </w:rPr>
        <w:t>Kebijak. dan Manaj. Publik</w:t>
      </w:r>
      <w:r w:rsidRPr="00F70037">
        <w:rPr>
          <w:rFonts w:cs="Times New Roman"/>
          <w:noProof/>
          <w:szCs w:val="24"/>
        </w:rPr>
        <w:t>, vol. 3, no. April, pp. 1–10, 2015.</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[40]</w:t>
      </w:r>
      <w:r w:rsidRPr="00F70037">
        <w:rPr>
          <w:rFonts w:cs="Times New Roman"/>
          <w:noProof/>
          <w:szCs w:val="24"/>
        </w:rPr>
        <w:tab/>
        <w:t xml:space="preserve">I. S. Ruhimat, “Impelementasi Kebijakan Kesatuan Pengelolaan Hutan ( KPH ) di Kabupaten Banjar,” </w:t>
      </w:r>
      <w:r w:rsidRPr="00F70037">
        <w:rPr>
          <w:rFonts w:cs="Times New Roman"/>
          <w:i/>
          <w:iCs/>
          <w:noProof/>
          <w:szCs w:val="24"/>
        </w:rPr>
        <w:t>J. Anal. Kebijak. Kehutan.</w:t>
      </w:r>
      <w:r w:rsidRPr="00F70037">
        <w:rPr>
          <w:rFonts w:cs="Times New Roman"/>
          <w:noProof/>
          <w:szCs w:val="24"/>
        </w:rPr>
        <w:t>, vol. 7, no. 3, pp. 169–178, 2010.</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[41]</w:t>
      </w:r>
      <w:r w:rsidRPr="00F70037">
        <w:rPr>
          <w:rFonts w:cs="Times New Roman"/>
          <w:noProof/>
          <w:szCs w:val="24"/>
        </w:rPr>
        <w:tab/>
        <w:t xml:space="preserve">E. A. Waluyo, N. A. Ulya, and E. Martin, “Perencanaan sosial dalam rangka pengembangan hutan rakyat di sumatera selatan,” </w:t>
      </w:r>
      <w:r w:rsidRPr="00F70037">
        <w:rPr>
          <w:rFonts w:cs="Times New Roman"/>
          <w:i/>
          <w:iCs/>
          <w:noProof/>
          <w:szCs w:val="24"/>
        </w:rPr>
        <w:t>J. Penelit. Hutan dan Konserv. Alam</w:t>
      </w:r>
      <w:r w:rsidRPr="00F70037">
        <w:rPr>
          <w:rFonts w:cs="Times New Roman"/>
          <w:noProof/>
          <w:szCs w:val="24"/>
        </w:rPr>
        <w:t>, vol. VII (3), pp. 271–280, 2010.</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[42]</w:t>
      </w:r>
      <w:r w:rsidRPr="00F70037">
        <w:rPr>
          <w:rFonts w:cs="Times New Roman"/>
          <w:noProof/>
          <w:szCs w:val="24"/>
        </w:rPr>
        <w:tab/>
        <w:t>Dinas Kehutanan Provinsi Sumatera Selatan, “Statistik Dinas Kehutanan Provinsi Sumatera Selatan Tahun 2017,” Palembang, 2018.</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[43]</w:t>
      </w:r>
      <w:r w:rsidRPr="00F70037">
        <w:rPr>
          <w:rFonts w:cs="Times New Roman"/>
          <w:noProof/>
          <w:szCs w:val="24"/>
        </w:rPr>
        <w:tab/>
        <w:t>Taufiqurrohman, “Implementasi Kebijakan Kehutanan Masyarakat (Studi Kasus Hutan Kemasyarakatan di Dusun Kalibiru, Kulon Progo),” Universitas Gajah Mada, 2014.</w:t>
      </w:r>
    </w:p>
    <w:p w:rsidR="00F70037" w:rsidRPr="00F70037" w:rsidRDefault="00F70037" w:rsidP="00F70037">
      <w:pPr>
        <w:autoSpaceDE w:val="0"/>
        <w:autoSpaceDN w:val="0"/>
        <w:adjustRightInd w:val="0"/>
        <w:ind w:left="640" w:hanging="640"/>
        <w:rPr>
          <w:rFonts w:cs="Times New Roman"/>
          <w:noProof/>
          <w:szCs w:val="24"/>
        </w:rPr>
      </w:pPr>
      <w:r w:rsidRPr="00F70037">
        <w:rPr>
          <w:rFonts w:cs="Times New Roman"/>
          <w:noProof/>
          <w:szCs w:val="24"/>
        </w:rPr>
        <w:t>[44]</w:t>
      </w:r>
      <w:r w:rsidRPr="00F70037">
        <w:rPr>
          <w:rFonts w:cs="Times New Roman"/>
          <w:noProof/>
          <w:szCs w:val="24"/>
        </w:rPr>
        <w:tab/>
        <w:t xml:space="preserve">M. A. K. Sahide </w:t>
      </w:r>
      <w:r w:rsidRPr="00F70037">
        <w:rPr>
          <w:rFonts w:cs="Times New Roman"/>
          <w:i/>
          <w:iCs/>
          <w:noProof/>
          <w:szCs w:val="24"/>
        </w:rPr>
        <w:t>et al.</w:t>
      </w:r>
      <w:r w:rsidRPr="00F70037">
        <w:rPr>
          <w:rFonts w:cs="Times New Roman"/>
          <w:noProof/>
          <w:szCs w:val="24"/>
        </w:rPr>
        <w:t xml:space="preserve">, </w:t>
      </w:r>
      <w:r w:rsidRPr="00F70037">
        <w:rPr>
          <w:rFonts w:cs="Times New Roman"/>
          <w:i/>
          <w:iCs/>
          <w:noProof/>
          <w:szCs w:val="24"/>
        </w:rPr>
        <w:t>Kajian Dampak Perhutanan Sosial Provinsi Sulawesi Selatan</w:t>
      </w:r>
      <w:r w:rsidRPr="00F70037">
        <w:rPr>
          <w:rFonts w:cs="Times New Roman"/>
          <w:noProof/>
          <w:szCs w:val="24"/>
        </w:rPr>
        <w:t>, no. December. Makassar: Fakultas Kehutanan UNHAS, 2018.</w:t>
      </w:r>
    </w:p>
    <w:p w:rsidR="00F70037" w:rsidRPr="00F70037" w:rsidRDefault="00F70037" w:rsidP="00F70037">
      <w:pPr>
        <w:autoSpaceDE w:val="0"/>
        <w:autoSpaceDN w:val="0"/>
        <w:adjustRightInd w:val="0"/>
        <w:ind w:left="640" w:hanging="640"/>
        <w:rPr>
          <w:rFonts w:cs="Times New Roman"/>
          <w:noProof/>
        </w:rPr>
      </w:pPr>
      <w:r w:rsidRPr="00F70037">
        <w:rPr>
          <w:rFonts w:cs="Times New Roman"/>
          <w:noProof/>
          <w:szCs w:val="24"/>
        </w:rPr>
        <w:t>[45]</w:t>
      </w:r>
      <w:r w:rsidRPr="00F70037">
        <w:rPr>
          <w:rFonts w:cs="Times New Roman"/>
          <w:noProof/>
          <w:szCs w:val="24"/>
        </w:rPr>
        <w:tab/>
        <w:t xml:space="preserve">L. O. Ifrisal, H. Kartodihardjo, and B. Nugroho, “Implementasi Kebijakan Hutan Tanaman Rakyat di Kabupaten Muna Sulawesi Tenggara,” </w:t>
      </w:r>
      <w:r w:rsidRPr="00F70037">
        <w:rPr>
          <w:rFonts w:cs="Times New Roman"/>
          <w:i/>
          <w:iCs/>
          <w:noProof/>
          <w:szCs w:val="24"/>
        </w:rPr>
        <w:t>J. Silvikultur Trop.</w:t>
      </w:r>
      <w:r w:rsidRPr="00F70037">
        <w:rPr>
          <w:rFonts w:cs="Times New Roman"/>
          <w:noProof/>
          <w:szCs w:val="24"/>
        </w:rPr>
        <w:t>, vol. 07, no. 3, pp. 159–164, 2016.</w:t>
      </w:r>
    </w:p>
    <w:p w:rsidR="00DC1071" w:rsidRPr="00DC1071" w:rsidRDefault="00B40461" w:rsidP="00DC1071">
      <w:pPr>
        <w:ind w:firstLine="0"/>
        <w:rPr>
          <w:b/>
        </w:rPr>
      </w:pPr>
      <w:r>
        <w:rPr>
          <w:b/>
        </w:rPr>
        <w:fldChar w:fldCharType="end"/>
      </w:r>
    </w:p>
    <w:p w:rsidR="0045178E" w:rsidRPr="0045178E" w:rsidRDefault="0045178E" w:rsidP="0045178E">
      <w:pPr>
        <w:ind w:firstLine="0"/>
        <w:rPr>
          <w:b/>
        </w:rPr>
      </w:pPr>
    </w:p>
    <w:sectPr w:rsidR="0045178E" w:rsidRPr="0045178E" w:rsidSect="00B66797">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013"/>
    <w:multiLevelType w:val="multilevel"/>
    <w:tmpl w:val="CBC4D69C"/>
    <w:lvl w:ilvl="0">
      <w:start w:val="1"/>
      <w:numFmt w:val="decimal"/>
      <w:lvlText w:val="%1."/>
      <w:lvlJc w:val="left"/>
      <w:pPr>
        <w:ind w:left="1287" w:hanging="360"/>
      </w:pPr>
      <w:rPr>
        <w:rFonts w:hint="default"/>
        <w:sz w:val="24"/>
      </w:rPr>
    </w:lvl>
    <w:lvl w:ilvl="1">
      <w:start w:val="2"/>
      <w:numFmt w:val="decimal"/>
      <w:isLgl/>
      <w:lvlText w:val="%1.%2"/>
      <w:lvlJc w:val="left"/>
      <w:pPr>
        <w:ind w:left="1287" w:hanging="360"/>
      </w:pPr>
      <w:rPr>
        <w:rFonts w:cstheme="minorBidi" w:hint="default"/>
      </w:rPr>
    </w:lvl>
    <w:lvl w:ilvl="2">
      <w:start w:val="1"/>
      <w:numFmt w:val="decimal"/>
      <w:isLgl/>
      <w:lvlText w:val="%1.%2.%3"/>
      <w:lvlJc w:val="left"/>
      <w:pPr>
        <w:ind w:left="1647" w:hanging="720"/>
      </w:pPr>
      <w:rPr>
        <w:rFonts w:cstheme="minorBidi" w:hint="default"/>
      </w:rPr>
    </w:lvl>
    <w:lvl w:ilvl="3">
      <w:start w:val="1"/>
      <w:numFmt w:val="decimal"/>
      <w:isLgl/>
      <w:lvlText w:val="%1.%2.%3.%4"/>
      <w:lvlJc w:val="left"/>
      <w:pPr>
        <w:ind w:left="1647" w:hanging="720"/>
      </w:pPr>
      <w:rPr>
        <w:rFonts w:cstheme="minorBidi" w:hint="default"/>
      </w:rPr>
    </w:lvl>
    <w:lvl w:ilvl="4">
      <w:start w:val="1"/>
      <w:numFmt w:val="decimal"/>
      <w:isLgl/>
      <w:lvlText w:val="%1.%2.%3.%4.%5"/>
      <w:lvlJc w:val="left"/>
      <w:pPr>
        <w:ind w:left="2007" w:hanging="1080"/>
      </w:pPr>
      <w:rPr>
        <w:rFonts w:cstheme="minorBidi" w:hint="default"/>
      </w:rPr>
    </w:lvl>
    <w:lvl w:ilvl="5">
      <w:start w:val="1"/>
      <w:numFmt w:val="decimal"/>
      <w:isLgl/>
      <w:lvlText w:val="%1.%2.%3.%4.%5.%6"/>
      <w:lvlJc w:val="left"/>
      <w:pPr>
        <w:ind w:left="2007" w:hanging="1080"/>
      </w:pPr>
      <w:rPr>
        <w:rFonts w:cstheme="minorBidi" w:hint="default"/>
      </w:rPr>
    </w:lvl>
    <w:lvl w:ilvl="6">
      <w:start w:val="1"/>
      <w:numFmt w:val="decimal"/>
      <w:isLgl/>
      <w:lvlText w:val="%1.%2.%3.%4.%5.%6.%7"/>
      <w:lvlJc w:val="left"/>
      <w:pPr>
        <w:ind w:left="2367" w:hanging="1440"/>
      </w:pPr>
      <w:rPr>
        <w:rFonts w:cstheme="minorBidi" w:hint="default"/>
      </w:rPr>
    </w:lvl>
    <w:lvl w:ilvl="7">
      <w:start w:val="1"/>
      <w:numFmt w:val="decimal"/>
      <w:isLgl/>
      <w:lvlText w:val="%1.%2.%3.%4.%5.%6.%7.%8"/>
      <w:lvlJc w:val="left"/>
      <w:pPr>
        <w:ind w:left="2367" w:hanging="1440"/>
      </w:pPr>
      <w:rPr>
        <w:rFonts w:cstheme="minorBidi" w:hint="default"/>
      </w:rPr>
    </w:lvl>
    <w:lvl w:ilvl="8">
      <w:start w:val="1"/>
      <w:numFmt w:val="decimal"/>
      <w:isLgl/>
      <w:lvlText w:val="%1.%2.%3.%4.%5.%6.%7.%8.%9"/>
      <w:lvlJc w:val="left"/>
      <w:pPr>
        <w:ind w:left="2727" w:hanging="1800"/>
      </w:pPr>
      <w:rPr>
        <w:rFonts w:cstheme="minorBidi" w:hint="default"/>
      </w:rPr>
    </w:lvl>
  </w:abstractNum>
  <w:abstractNum w:abstractNumId="1">
    <w:nsid w:val="10B34C34"/>
    <w:multiLevelType w:val="hybridMultilevel"/>
    <w:tmpl w:val="4DCC212E"/>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
    <w:nsid w:val="14245311"/>
    <w:multiLevelType w:val="hybridMultilevel"/>
    <w:tmpl w:val="49FE0D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42D1020"/>
    <w:multiLevelType w:val="multilevel"/>
    <w:tmpl w:val="085C3168"/>
    <w:lvl w:ilvl="0">
      <w:start w:val="2"/>
      <w:numFmt w:val="decimal"/>
      <w:lvlText w:val="%1."/>
      <w:lvlJc w:val="left"/>
      <w:pPr>
        <w:ind w:left="1287" w:hanging="360"/>
      </w:pPr>
      <w:rPr>
        <w:rFonts w:hint="default"/>
      </w:rPr>
    </w:lvl>
    <w:lvl w:ilvl="1">
      <w:start w:val="2"/>
      <w:numFmt w:val="decimal"/>
      <w:isLgl/>
      <w:lvlText w:val="%1.%2"/>
      <w:lvlJc w:val="left"/>
      <w:pPr>
        <w:ind w:left="1287" w:hanging="360"/>
      </w:pPr>
      <w:rPr>
        <w:rFonts w:cstheme="minorBidi" w:hint="default"/>
      </w:rPr>
    </w:lvl>
    <w:lvl w:ilvl="2">
      <w:start w:val="1"/>
      <w:numFmt w:val="decimal"/>
      <w:isLgl/>
      <w:lvlText w:val="%1.%2.%3"/>
      <w:lvlJc w:val="left"/>
      <w:pPr>
        <w:ind w:left="1647" w:hanging="720"/>
      </w:pPr>
      <w:rPr>
        <w:rFonts w:cstheme="minorBidi" w:hint="default"/>
      </w:rPr>
    </w:lvl>
    <w:lvl w:ilvl="3">
      <w:start w:val="1"/>
      <w:numFmt w:val="decimal"/>
      <w:isLgl/>
      <w:lvlText w:val="%1.%2.%3.%4"/>
      <w:lvlJc w:val="left"/>
      <w:pPr>
        <w:ind w:left="1647" w:hanging="720"/>
      </w:pPr>
      <w:rPr>
        <w:rFonts w:cstheme="minorBidi" w:hint="default"/>
      </w:rPr>
    </w:lvl>
    <w:lvl w:ilvl="4">
      <w:start w:val="1"/>
      <w:numFmt w:val="decimal"/>
      <w:isLgl/>
      <w:lvlText w:val="%1.%2.%3.%4.%5"/>
      <w:lvlJc w:val="left"/>
      <w:pPr>
        <w:ind w:left="2007" w:hanging="1080"/>
      </w:pPr>
      <w:rPr>
        <w:rFonts w:cstheme="minorBidi" w:hint="default"/>
      </w:rPr>
    </w:lvl>
    <w:lvl w:ilvl="5">
      <w:start w:val="1"/>
      <w:numFmt w:val="decimal"/>
      <w:isLgl/>
      <w:lvlText w:val="%1.%2.%3.%4.%5.%6"/>
      <w:lvlJc w:val="left"/>
      <w:pPr>
        <w:ind w:left="2007" w:hanging="1080"/>
      </w:pPr>
      <w:rPr>
        <w:rFonts w:cstheme="minorBidi" w:hint="default"/>
      </w:rPr>
    </w:lvl>
    <w:lvl w:ilvl="6">
      <w:start w:val="1"/>
      <w:numFmt w:val="decimal"/>
      <w:isLgl/>
      <w:lvlText w:val="%1.%2.%3.%4.%5.%6.%7"/>
      <w:lvlJc w:val="left"/>
      <w:pPr>
        <w:ind w:left="2367" w:hanging="1440"/>
      </w:pPr>
      <w:rPr>
        <w:rFonts w:cstheme="minorBidi" w:hint="default"/>
      </w:rPr>
    </w:lvl>
    <w:lvl w:ilvl="7">
      <w:start w:val="1"/>
      <w:numFmt w:val="decimal"/>
      <w:isLgl/>
      <w:lvlText w:val="%1.%2.%3.%4.%5.%6.%7.%8"/>
      <w:lvlJc w:val="left"/>
      <w:pPr>
        <w:ind w:left="2367" w:hanging="1440"/>
      </w:pPr>
      <w:rPr>
        <w:rFonts w:cstheme="minorBidi" w:hint="default"/>
      </w:rPr>
    </w:lvl>
    <w:lvl w:ilvl="8">
      <w:start w:val="1"/>
      <w:numFmt w:val="decimal"/>
      <w:isLgl/>
      <w:lvlText w:val="%1.%2.%3.%4.%5.%6.%7.%8.%9"/>
      <w:lvlJc w:val="left"/>
      <w:pPr>
        <w:ind w:left="2727" w:hanging="1800"/>
      </w:pPr>
      <w:rPr>
        <w:rFonts w:cstheme="minorBidi" w:hint="default"/>
      </w:rPr>
    </w:lvl>
  </w:abstractNum>
  <w:abstractNum w:abstractNumId="4">
    <w:nsid w:val="259914D7"/>
    <w:multiLevelType w:val="hybridMultilevel"/>
    <w:tmpl w:val="7E8C56E4"/>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5">
    <w:nsid w:val="2F5876D0"/>
    <w:multiLevelType w:val="hybridMultilevel"/>
    <w:tmpl w:val="BF4C38AA"/>
    <w:lvl w:ilvl="0" w:tplc="C624D728">
      <w:start w:val="1"/>
      <w:numFmt w:val="bullet"/>
      <w:lvlText w:val="-"/>
      <w:lvlJc w:val="left"/>
      <w:pPr>
        <w:ind w:left="1440" w:hanging="360"/>
      </w:pPr>
      <w:rPr>
        <w:rFonts w:ascii="Times New Roman" w:eastAsiaTheme="minorEastAsia" w:hAnsi="Times New Roman" w:cs="Times New Roman"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6">
    <w:nsid w:val="32D54E74"/>
    <w:multiLevelType w:val="hybridMultilevel"/>
    <w:tmpl w:val="CEC4ED9E"/>
    <w:lvl w:ilvl="0" w:tplc="6C9AB074">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7">
    <w:nsid w:val="5F02299F"/>
    <w:multiLevelType w:val="hybridMultilevel"/>
    <w:tmpl w:val="9AAA0B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608223A8"/>
    <w:multiLevelType w:val="hybridMultilevel"/>
    <w:tmpl w:val="58BCABEE"/>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9">
    <w:nsid w:val="64317F98"/>
    <w:multiLevelType w:val="hybridMultilevel"/>
    <w:tmpl w:val="50C05692"/>
    <w:lvl w:ilvl="0" w:tplc="EDEADEF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67B4436C"/>
    <w:multiLevelType w:val="hybridMultilevel"/>
    <w:tmpl w:val="61E4BE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E1B4347"/>
    <w:multiLevelType w:val="hybridMultilevel"/>
    <w:tmpl w:val="33209FAE"/>
    <w:lvl w:ilvl="0" w:tplc="29E801C4">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2">
    <w:nsid w:val="78966BD3"/>
    <w:multiLevelType w:val="multilevel"/>
    <w:tmpl w:val="3AC4C9DC"/>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a0tDAwMTU2MjYxMzExNbFQ0lEKTi0uzszPAykwrAUAt2ZMjSwAAAA="/>
  </w:docVars>
  <w:rsids>
    <w:rsidRoot w:val="00B66797"/>
    <w:rsid w:val="00005E02"/>
    <w:rsid w:val="000249B6"/>
    <w:rsid w:val="00034DDC"/>
    <w:rsid w:val="0004251F"/>
    <w:rsid w:val="00044D25"/>
    <w:rsid w:val="00050B4A"/>
    <w:rsid w:val="00085A6B"/>
    <w:rsid w:val="00086A58"/>
    <w:rsid w:val="000C1E02"/>
    <w:rsid w:val="000D56E3"/>
    <w:rsid w:val="000E0D00"/>
    <w:rsid w:val="00132BA3"/>
    <w:rsid w:val="00147A6D"/>
    <w:rsid w:val="00172A27"/>
    <w:rsid w:val="00183DD0"/>
    <w:rsid w:val="00195637"/>
    <w:rsid w:val="001F4EC3"/>
    <w:rsid w:val="00214565"/>
    <w:rsid w:val="00217968"/>
    <w:rsid w:val="00277E9E"/>
    <w:rsid w:val="002A4F37"/>
    <w:rsid w:val="002A6F3B"/>
    <w:rsid w:val="002D6D35"/>
    <w:rsid w:val="002F3FBA"/>
    <w:rsid w:val="00302E9D"/>
    <w:rsid w:val="00321CF5"/>
    <w:rsid w:val="00356B60"/>
    <w:rsid w:val="003771B8"/>
    <w:rsid w:val="003A13DB"/>
    <w:rsid w:val="003B2CC5"/>
    <w:rsid w:val="003C03BE"/>
    <w:rsid w:val="003C7DEA"/>
    <w:rsid w:val="003E2CDA"/>
    <w:rsid w:val="003E6858"/>
    <w:rsid w:val="0040203E"/>
    <w:rsid w:val="0045178E"/>
    <w:rsid w:val="004640AC"/>
    <w:rsid w:val="00486A80"/>
    <w:rsid w:val="004915B0"/>
    <w:rsid w:val="004F15FE"/>
    <w:rsid w:val="00504993"/>
    <w:rsid w:val="00525CBC"/>
    <w:rsid w:val="00543A3F"/>
    <w:rsid w:val="00552A67"/>
    <w:rsid w:val="00586D88"/>
    <w:rsid w:val="005F74DE"/>
    <w:rsid w:val="00622457"/>
    <w:rsid w:val="0066193C"/>
    <w:rsid w:val="006670BF"/>
    <w:rsid w:val="006760DD"/>
    <w:rsid w:val="00676F3A"/>
    <w:rsid w:val="0068711D"/>
    <w:rsid w:val="006D2D0C"/>
    <w:rsid w:val="006E49DE"/>
    <w:rsid w:val="006F5D2D"/>
    <w:rsid w:val="006F62BD"/>
    <w:rsid w:val="006F7E5D"/>
    <w:rsid w:val="00703935"/>
    <w:rsid w:val="00706B7E"/>
    <w:rsid w:val="00773085"/>
    <w:rsid w:val="00775125"/>
    <w:rsid w:val="00780610"/>
    <w:rsid w:val="007A34CF"/>
    <w:rsid w:val="007B18A2"/>
    <w:rsid w:val="007B3C55"/>
    <w:rsid w:val="007B58F6"/>
    <w:rsid w:val="007B5A91"/>
    <w:rsid w:val="007C309B"/>
    <w:rsid w:val="007D73BA"/>
    <w:rsid w:val="007E0ED1"/>
    <w:rsid w:val="0082247B"/>
    <w:rsid w:val="00840627"/>
    <w:rsid w:val="00844787"/>
    <w:rsid w:val="0086057D"/>
    <w:rsid w:val="008703FE"/>
    <w:rsid w:val="00882F74"/>
    <w:rsid w:val="008E7E8B"/>
    <w:rsid w:val="008F2B05"/>
    <w:rsid w:val="00901076"/>
    <w:rsid w:val="00947DA0"/>
    <w:rsid w:val="0095535D"/>
    <w:rsid w:val="00977693"/>
    <w:rsid w:val="00990087"/>
    <w:rsid w:val="00993E49"/>
    <w:rsid w:val="009A1A89"/>
    <w:rsid w:val="009B03E5"/>
    <w:rsid w:val="009C4D3A"/>
    <w:rsid w:val="009F7F3B"/>
    <w:rsid w:val="00A07393"/>
    <w:rsid w:val="00A14988"/>
    <w:rsid w:val="00A543F6"/>
    <w:rsid w:val="00A71815"/>
    <w:rsid w:val="00A91DA7"/>
    <w:rsid w:val="00AA35F2"/>
    <w:rsid w:val="00AC5181"/>
    <w:rsid w:val="00AF7D93"/>
    <w:rsid w:val="00B027FE"/>
    <w:rsid w:val="00B3799D"/>
    <w:rsid w:val="00B40461"/>
    <w:rsid w:val="00B4736B"/>
    <w:rsid w:val="00B65580"/>
    <w:rsid w:val="00B66797"/>
    <w:rsid w:val="00B7618A"/>
    <w:rsid w:val="00BA157F"/>
    <w:rsid w:val="00BA33EE"/>
    <w:rsid w:val="00BB020A"/>
    <w:rsid w:val="00BB27C7"/>
    <w:rsid w:val="00BB3DC1"/>
    <w:rsid w:val="00BB78D6"/>
    <w:rsid w:val="00BC3B26"/>
    <w:rsid w:val="00BD1544"/>
    <w:rsid w:val="00BE3CF9"/>
    <w:rsid w:val="00C16B7F"/>
    <w:rsid w:val="00C17938"/>
    <w:rsid w:val="00C24CBB"/>
    <w:rsid w:val="00C54315"/>
    <w:rsid w:val="00C845F3"/>
    <w:rsid w:val="00C93BB9"/>
    <w:rsid w:val="00CC0A91"/>
    <w:rsid w:val="00CC6A21"/>
    <w:rsid w:val="00CE0DD2"/>
    <w:rsid w:val="00CF2D8E"/>
    <w:rsid w:val="00CF711D"/>
    <w:rsid w:val="00D021F1"/>
    <w:rsid w:val="00D41941"/>
    <w:rsid w:val="00D4413C"/>
    <w:rsid w:val="00D46FD6"/>
    <w:rsid w:val="00DB0B11"/>
    <w:rsid w:val="00DB1F5C"/>
    <w:rsid w:val="00DC1071"/>
    <w:rsid w:val="00DC4912"/>
    <w:rsid w:val="00DC4C48"/>
    <w:rsid w:val="00DE0FEF"/>
    <w:rsid w:val="00DF1F7B"/>
    <w:rsid w:val="00DF2DBA"/>
    <w:rsid w:val="00E21088"/>
    <w:rsid w:val="00EA7848"/>
    <w:rsid w:val="00EB1FC7"/>
    <w:rsid w:val="00F000A6"/>
    <w:rsid w:val="00F065F6"/>
    <w:rsid w:val="00F27049"/>
    <w:rsid w:val="00F34763"/>
    <w:rsid w:val="00F70037"/>
    <w:rsid w:val="00F93729"/>
    <w:rsid w:val="00FE3F0A"/>
    <w:rsid w:val="00FE4C7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5C"/>
    <w:pPr>
      <w:widowControl w:val="0"/>
      <w:snapToGrid w:val="0"/>
      <w:spacing w:after="0" w:line="240" w:lineRule="auto"/>
      <w:ind w:firstLine="567"/>
      <w:jc w:val="both"/>
    </w:pPr>
    <w:rPr>
      <w:rFonts w:ascii="Times New Roman" w:hAnsi="Times New Roman"/>
      <w:kern w:val="2"/>
      <w:sz w:val="24"/>
      <w:lang w:val="en-US" w:eastAsia="zh-TW"/>
    </w:rPr>
  </w:style>
  <w:style w:type="paragraph" w:styleId="Heading1">
    <w:name w:val="heading 1"/>
    <w:aliases w:val="Bab"/>
    <w:basedOn w:val="Normal"/>
    <w:next w:val="Normal"/>
    <w:link w:val="Heading1Char"/>
    <w:uiPriority w:val="9"/>
    <w:qFormat/>
    <w:rsid w:val="00F065F6"/>
    <w:pPr>
      <w:keepNext/>
      <w:keepLines/>
      <w:widowControl/>
      <w:spacing w:before="120" w:after="120"/>
      <w:ind w:firstLine="0"/>
      <w:jc w:val="center"/>
      <w:outlineLvl w:val="0"/>
    </w:pPr>
    <w:rPr>
      <w:rFonts w:eastAsiaTheme="majorEastAsia" w:cstheme="majorBidi"/>
      <w:caps/>
      <w:kern w:val="0"/>
      <w:sz w:val="28"/>
      <w:szCs w:val="28"/>
      <w:lang w:eastAsia="ja-JP"/>
    </w:rPr>
  </w:style>
  <w:style w:type="paragraph" w:styleId="Heading2">
    <w:name w:val="heading 2"/>
    <w:aliases w:val="Sub Bab"/>
    <w:basedOn w:val="Normal"/>
    <w:next w:val="Normal"/>
    <w:link w:val="Heading2Char"/>
    <w:uiPriority w:val="9"/>
    <w:unhideWhenUsed/>
    <w:qFormat/>
    <w:rsid w:val="00F065F6"/>
    <w:pPr>
      <w:keepNext/>
      <w:keepLines/>
      <w:spacing w:before="120"/>
      <w:ind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F065F6"/>
    <w:rPr>
      <w:rFonts w:ascii="Times New Roman" w:eastAsiaTheme="majorEastAsia" w:hAnsi="Times New Roman" w:cstheme="majorBidi"/>
      <w:caps/>
      <w:sz w:val="28"/>
      <w:szCs w:val="28"/>
      <w:lang w:val="en-US" w:eastAsia="ja-JP"/>
    </w:rPr>
  </w:style>
  <w:style w:type="character" w:customStyle="1" w:styleId="Heading2Char">
    <w:name w:val="Heading 2 Char"/>
    <w:aliases w:val="Sub Bab Char"/>
    <w:basedOn w:val="DefaultParagraphFont"/>
    <w:link w:val="Heading2"/>
    <w:uiPriority w:val="9"/>
    <w:rsid w:val="00F065F6"/>
    <w:rPr>
      <w:rFonts w:ascii="Times New Roman" w:eastAsiaTheme="majorEastAsia" w:hAnsi="Times New Roman" w:cstheme="majorBidi"/>
      <w:kern w:val="2"/>
      <w:sz w:val="24"/>
      <w:szCs w:val="26"/>
      <w:lang w:val="en-US" w:eastAsia="zh-TW"/>
    </w:rPr>
  </w:style>
  <w:style w:type="character" w:customStyle="1" w:styleId="ListParagraphChar">
    <w:name w:val="List Paragraph Char"/>
    <w:link w:val="ListParagraph"/>
    <w:uiPriority w:val="34"/>
    <w:locked/>
    <w:rsid w:val="00F065F6"/>
    <w:rPr>
      <w:rFonts w:ascii="Times New Roman" w:hAnsi="Times New Roman" w:cs="Times New Roman"/>
    </w:rPr>
  </w:style>
  <w:style w:type="paragraph" w:styleId="ListParagraph">
    <w:name w:val="List Paragraph"/>
    <w:basedOn w:val="Normal"/>
    <w:link w:val="ListParagraphChar"/>
    <w:uiPriority w:val="34"/>
    <w:qFormat/>
    <w:rsid w:val="00F065F6"/>
    <w:pPr>
      <w:ind w:leftChars="200" w:left="480"/>
    </w:pPr>
    <w:rPr>
      <w:rFonts w:cs="Times New Roman"/>
      <w:kern w:val="0"/>
      <w:sz w:val="22"/>
      <w:lang w:val="id-ID" w:eastAsia="zh-CN"/>
    </w:rPr>
  </w:style>
  <w:style w:type="character" w:customStyle="1" w:styleId="JudulGambarChar">
    <w:name w:val="Judul Gambar Char"/>
    <w:basedOn w:val="DefaultParagraphFont"/>
    <w:link w:val="JudulGambar"/>
    <w:locked/>
    <w:rsid w:val="00F065F6"/>
    <w:rPr>
      <w:rFonts w:ascii="Times New Roman" w:hAnsi="Times New Roman" w:cs="Times New Roman"/>
      <w:iCs/>
      <w:szCs w:val="18"/>
    </w:rPr>
  </w:style>
  <w:style w:type="paragraph" w:customStyle="1" w:styleId="JudulGambar">
    <w:name w:val="Judul Gambar"/>
    <w:basedOn w:val="Caption"/>
    <w:link w:val="JudulGambarChar"/>
    <w:qFormat/>
    <w:rsid w:val="00F065F6"/>
    <w:pPr>
      <w:spacing w:after="0" w:line="360" w:lineRule="auto"/>
      <w:ind w:firstLine="0"/>
      <w:jc w:val="center"/>
    </w:pPr>
    <w:rPr>
      <w:rFonts w:cs="Times New Roman"/>
      <w:i w:val="0"/>
      <w:color w:val="auto"/>
      <w:kern w:val="0"/>
      <w:sz w:val="22"/>
      <w:lang w:val="id-ID" w:eastAsia="zh-CN"/>
    </w:rPr>
  </w:style>
  <w:style w:type="paragraph" w:styleId="Caption">
    <w:name w:val="caption"/>
    <w:basedOn w:val="Normal"/>
    <w:next w:val="Normal"/>
    <w:uiPriority w:val="35"/>
    <w:semiHidden/>
    <w:unhideWhenUsed/>
    <w:qFormat/>
    <w:rsid w:val="00F065F6"/>
    <w:pPr>
      <w:spacing w:after="200"/>
    </w:pPr>
    <w:rPr>
      <w:i/>
      <w:iCs/>
      <w:color w:val="44546A" w:themeColor="text2"/>
      <w:sz w:val="18"/>
      <w:szCs w:val="18"/>
    </w:rPr>
  </w:style>
  <w:style w:type="paragraph" w:customStyle="1" w:styleId="Default">
    <w:name w:val="Default"/>
    <w:rsid w:val="0068711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TableGrid">
    <w:name w:val="Table Grid"/>
    <w:basedOn w:val="TableNormal"/>
    <w:uiPriority w:val="39"/>
    <w:rsid w:val="0068711D"/>
    <w:pPr>
      <w:spacing w:after="0" w:line="240" w:lineRule="auto"/>
    </w:pPr>
    <w:rPr>
      <w:rFonts w:eastAsiaTheme="minorHAnsi"/>
      <w:kern w:val="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16B7F"/>
    <w:rPr>
      <w:color w:val="0000FF"/>
      <w:u w:val="single"/>
    </w:rPr>
  </w:style>
  <w:style w:type="paragraph" w:styleId="DocumentMap">
    <w:name w:val="Document Map"/>
    <w:basedOn w:val="Normal"/>
    <w:link w:val="DocumentMapChar"/>
    <w:uiPriority w:val="99"/>
    <w:semiHidden/>
    <w:unhideWhenUsed/>
    <w:rsid w:val="007B18A2"/>
    <w:rPr>
      <w:rFonts w:ascii="Tahoma" w:hAnsi="Tahoma" w:cs="Tahoma"/>
      <w:sz w:val="16"/>
      <w:szCs w:val="16"/>
    </w:rPr>
  </w:style>
  <w:style w:type="character" w:customStyle="1" w:styleId="DocumentMapChar">
    <w:name w:val="Document Map Char"/>
    <w:basedOn w:val="DefaultParagraphFont"/>
    <w:link w:val="DocumentMap"/>
    <w:uiPriority w:val="99"/>
    <w:semiHidden/>
    <w:rsid w:val="007B18A2"/>
    <w:rPr>
      <w:rFonts w:ascii="Tahoma" w:hAnsi="Tahoma" w:cs="Tahoma"/>
      <w:kern w:val="2"/>
      <w:sz w:val="16"/>
      <w:szCs w:val="16"/>
      <w:lang w:val="en-US" w:eastAsia="zh-TW"/>
    </w:rPr>
  </w:style>
  <w:style w:type="paragraph" w:styleId="BalloonText">
    <w:name w:val="Balloon Text"/>
    <w:basedOn w:val="Normal"/>
    <w:link w:val="BalloonTextChar"/>
    <w:uiPriority w:val="99"/>
    <w:semiHidden/>
    <w:unhideWhenUsed/>
    <w:rsid w:val="007B18A2"/>
    <w:rPr>
      <w:rFonts w:ascii="Tahoma" w:hAnsi="Tahoma" w:cs="Tahoma"/>
      <w:sz w:val="16"/>
      <w:szCs w:val="16"/>
    </w:rPr>
  </w:style>
  <w:style w:type="character" w:customStyle="1" w:styleId="BalloonTextChar">
    <w:name w:val="Balloon Text Char"/>
    <w:basedOn w:val="DefaultParagraphFont"/>
    <w:link w:val="BalloonText"/>
    <w:uiPriority w:val="99"/>
    <w:semiHidden/>
    <w:rsid w:val="007B18A2"/>
    <w:rPr>
      <w:rFonts w:ascii="Tahoma" w:hAnsi="Tahoma" w:cs="Tahoma"/>
      <w:kern w:val="2"/>
      <w:sz w:val="16"/>
      <w:szCs w:val="16"/>
      <w:lang w:val="en-US" w:eastAsia="zh-TW"/>
    </w:rPr>
  </w:style>
</w:styles>
</file>

<file path=word/webSettings.xml><?xml version="1.0" encoding="utf-8"?>
<w:webSettings xmlns:r="http://schemas.openxmlformats.org/officeDocument/2006/relationships" xmlns:w="http://schemas.openxmlformats.org/wordprocessingml/2006/main">
  <w:divs>
    <w:div w:id="122431950">
      <w:bodyDiv w:val="1"/>
      <w:marLeft w:val="0"/>
      <w:marRight w:val="0"/>
      <w:marTop w:val="0"/>
      <w:marBottom w:val="0"/>
      <w:divBdr>
        <w:top w:val="none" w:sz="0" w:space="0" w:color="auto"/>
        <w:left w:val="none" w:sz="0" w:space="0" w:color="auto"/>
        <w:bottom w:val="none" w:sz="0" w:space="0" w:color="auto"/>
        <w:right w:val="none" w:sz="0" w:space="0" w:color="auto"/>
      </w:divBdr>
    </w:div>
    <w:div w:id="244729289">
      <w:bodyDiv w:val="1"/>
      <w:marLeft w:val="0"/>
      <w:marRight w:val="0"/>
      <w:marTop w:val="0"/>
      <w:marBottom w:val="0"/>
      <w:divBdr>
        <w:top w:val="none" w:sz="0" w:space="0" w:color="auto"/>
        <w:left w:val="none" w:sz="0" w:space="0" w:color="auto"/>
        <w:bottom w:val="none" w:sz="0" w:space="0" w:color="auto"/>
        <w:right w:val="none" w:sz="0" w:space="0" w:color="auto"/>
      </w:divBdr>
    </w:div>
    <w:div w:id="461968803">
      <w:bodyDiv w:val="1"/>
      <w:marLeft w:val="0"/>
      <w:marRight w:val="0"/>
      <w:marTop w:val="0"/>
      <w:marBottom w:val="0"/>
      <w:divBdr>
        <w:top w:val="none" w:sz="0" w:space="0" w:color="auto"/>
        <w:left w:val="none" w:sz="0" w:space="0" w:color="auto"/>
        <w:bottom w:val="none" w:sz="0" w:space="0" w:color="auto"/>
        <w:right w:val="none" w:sz="0" w:space="0" w:color="auto"/>
      </w:divBdr>
    </w:div>
    <w:div w:id="751895164">
      <w:bodyDiv w:val="1"/>
      <w:marLeft w:val="0"/>
      <w:marRight w:val="0"/>
      <w:marTop w:val="0"/>
      <w:marBottom w:val="0"/>
      <w:divBdr>
        <w:top w:val="none" w:sz="0" w:space="0" w:color="auto"/>
        <w:left w:val="none" w:sz="0" w:space="0" w:color="auto"/>
        <w:bottom w:val="none" w:sz="0" w:space="0" w:color="auto"/>
        <w:right w:val="none" w:sz="0" w:space="0" w:color="auto"/>
      </w:divBdr>
    </w:div>
    <w:div w:id="953364712">
      <w:bodyDiv w:val="1"/>
      <w:marLeft w:val="0"/>
      <w:marRight w:val="0"/>
      <w:marTop w:val="0"/>
      <w:marBottom w:val="0"/>
      <w:divBdr>
        <w:top w:val="none" w:sz="0" w:space="0" w:color="auto"/>
        <w:left w:val="none" w:sz="0" w:space="0" w:color="auto"/>
        <w:bottom w:val="none" w:sz="0" w:space="0" w:color="auto"/>
        <w:right w:val="none" w:sz="0" w:space="0" w:color="auto"/>
      </w:divBdr>
    </w:div>
    <w:div w:id="1188518940">
      <w:bodyDiv w:val="1"/>
      <w:marLeft w:val="0"/>
      <w:marRight w:val="0"/>
      <w:marTop w:val="0"/>
      <w:marBottom w:val="0"/>
      <w:divBdr>
        <w:top w:val="none" w:sz="0" w:space="0" w:color="auto"/>
        <w:left w:val="none" w:sz="0" w:space="0" w:color="auto"/>
        <w:bottom w:val="none" w:sz="0" w:space="0" w:color="auto"/>
        <w:right w:val="none" w:sz="0" w:space="0" w:color="auto"/>
      </w:divBdr>
    </w:div>
    <w:div w:id="1864978600">
      <w:bodyDiv w:val="1"/>
      <w:marLeft w:val="0"/>
      <w:marRight w:val="0"/>
      <w:marTop w:val="0"/>
      <w:marBottom w:val="0"/>
      <w:divBdr>
        <w:top w:val="none" w:sz="0" w:space="0" w:color="auto"/>
        <w:left w:val="none" w:sz="0" w:space="0" w:color="auto"/>
        <w:bottom w:val="none" w:sz="0" w:space="0" w:color="auto"/>
        <w:right w:val="none" w:sz="0" w:space="0" w:color="auto"/>
      </w:divBdr>
    </w:div>
    <w:div w:id="1879077292">
      <w:bodyDiv w:val="1"/>
      <w:marLeft w:val="0"/>
      <w:marRight w:val="0"/>
      <w:marTop w:val="0"/>
      <w:marBottom w:val="0"/>
      <w:divBdr>
        <w:top w:val="none" w:sz="0" w:space="0" w:color="auto"/>
        <w:left w:val="none" w:sz="0" w:space="0" w:color="auto"/>
        <w:bottom w:val="none" w:sz="0" w:space="0" w:color="auto"/>
        <w:right w:val="none" w:sz="0" w:space="0" w:color="auto"/>
      </w:divBdr>
    </w:div>
    <w:div w:id="1892764231">
      <w:bodyDiv w:val="1"/>
      <w:marLeft w:val="0"/>
      <w:marRight w:val="0"/>
      <w:marTop w:val="0"/>
      <w:marBottom w:val="0"/>
      <w:divBdr>
        <w:top w:val="none" w:sz="0" w:space="0" w:color="auto"/>
        <w:left w:val="none" w:sz="0" w:space="0" w:color="auto"/>
        <w:bottom w:val="none" w:sz="0" w:space="0" w:color="auto"/>
        <w:right w:val="none" w:sz="0" w:space="0" w:color="auto"/>
      </w:divBdr>
    </w:div>
    <w:div w:id="20326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theme" Target="theme/theme1.xml"/><Relationship Id="rId25"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7E9472-E6BA-42F8-813B-91FF8CB48301}" type="doc">
      <dgm:prSet loTypeId="urn:microsoft.com/office/officeart/2005/8/layout/process1" loCatId="process" qsTypeId="urn:microsoft.com/office/officeart/2005/8/quickstyle/simple1" qsCatId="simple" csTypeId="urn:microsoft.com/office/officeart/2005/8/colors/accent0_1" csCatId="mainScheme" phldr="1"/>
      <dgm:spPr/>
    </dgm:pt>
    <dgm:pt modelId="{734BF98E-A9F9-48F1-81CB-438FBCF2219F}">
      <dgm:prSet phldrT="[Text]" custT="1"/>
      <dgm:spPr>
        <a:ln w="19050"/>
      </dgm:spPr>
      <dgm:t>
        <a:bodyPr/>
        <a:lstStyle/>
        <a:p>
          <a:pPr algn="ctr"/>
          <a:r>
            <a:rPr lang="en-US" sz="1200" b="1">
              <a:latin typeface="Times New Roman" panose="02020603050405020304" pitchFamily="18" charset="0"/>
              <a:cs typeface="Times New Roman" panose="02020603050405020304" pitchFamily="18" charset="0"/>
            </a:rPr>
            <a:t>Indicator: legal access area</a:t>
          </a:r>
        </a:p>
        <a:p>
          <a:pPr algn="ctr"/>
          <a:r>
            <a:rPr lang="en-US" sz="1200" b="1">
              <a:latin typeface="Times New Roman" panose="02020603050405020304" pitchFamily="18" charset="0"/>
              <a:cs typeface="Times New Roman" panose="02020603050405020304" pitchFamily="18" charset="0"/>
            </a:rPr>
            <a:t>Function: Regulators </a:t>
          </a:r>
        </a:p>
      </dgm:t>
    </dgm:pt>
    <dgm:pt modelId="{29A774CD-5DC5-4F90-BD61-BA0552EB5A3D}" type="parTrans" cxnId="{DBD3728C-84C6-4172-A45E-79CDF57699AB}">
      <dgm:prSet/>
      <dgm:spPr/>
      <dgm:t>
        <a:bodyPr/>
        <a:lstStyle/>
        <a:p>
          <a:pPr algn="ctr"/>
          <a:endParaRPr lang="id-ID"/>
        </a:p>
      </dgm:t>
    </dgm:pt>
    <dgm:pt modelId="{E71FB804-F890-401F-9B7A-B127138DC469}" type="sibTrans" cxnId="{DBD3728C-84C6-4172-A45E-79CDF57699AB}">
      <dgm:prSet/>
      <dgm:spPr>
        <a:noFill/>
        <a:ln w="19050">
          <a:solidFill>
            <a:schemeClr val="tx1"/>
          </a:solidFill>
        </a:ln>
      </dgm:spPr>
      <dgm:t>
        <a:bodyPr/>
        <a:lstStyle/>
        <a:p>
          <a:pPr algn="ctr"/>
          <a:endParaRPr lang="id-ID"/>
        </a:p>
      </dgm:t>
    </dgm:pt>
    <dgm:pt modelId="{82705AAB-952E-4016-A1E9-E2BD8762627A}">
      <dgm:prSet phldrT="[Text]" custT="1"/>
      <dgm:spPr>
        <a:ln w="19050"/>
      </dgm:spPr>
      <dgm:t>
        <a:bodyPr/>
        <a:lstStyle/>
        <a:p>
          <a:pPr algn="ctr"/>
          <a:r>
            <a:rPr lang="en-US" sz="1200" b="1">
              <a:latin typeface="Times New Roman" panose="02020603050405020304" pitchFamily="18" charset="0"/>
              <a:cs typeface="Times New Roman" panose="02020603050405020304" pitchFamily="18" charset="0"/>
            </a:rPr>
            <a:t>Indicator: state revenue</a:t>
          </a:r>
        </a:p>
        <a:p>
          <a:pPr algn="ctr"/>
          <a:r>
            <a:rPr lang="en-US" sz="1200" b="1">
              <a:latin typeface="Times New Roman" panose="02020603050405020304" pitchFamily="18" charset="0"/>
              <a:cs typeface="Times New Roman" panose="02020603050405020304" pitchFamily="18" charset="0"/>
            </a:rPr>
            <a:t>Function: Facilitator</a:t>
          </a:r>
          <a:endParaRPr lang="id-ID" sz="1200" b="1">
            <a:latin typeface="Times New Roman" panose="02020603050405020304" pitchFamily="18" charset="0"/>
            <a:cs typeface="Times New Roman" panose="02020603050405020304" pitchFamily="18" charset="0"/>
          </a:endParaRPr>
        </a:p>
      </dgm:t>
    </dgm:pt>
    <dgm:pt modelId="{D7A7B7A5-A1B0-45C6-8E71-8FDE8002D0A2}" type="parTrans" cxnId="{2BB10D01-6452-4F97-8AA6-2AFF889297DF}">
      <dgm:prSet/>
      <dgm:spPr/>
      <dgm:t>
        <a:bodyPr/>
        <a:lstStyle/>
        <a:p>
          <a:pPr algn="ctr"/>
          <a:endParaRPr lang="id-ID"/>
        </a:p>
      </dgm:t>
    </dgm:pt>
    <dgm:pt modelId="{9D0EA84B-45CB-420D-A275-0601A9C71E19}" type="sibTrans" cxnId="{2BB10D01-6452-4F97-8AA6-2AFF889297DF}">
      <dgm:prSet/>
      <dgm:spPr/>
      <dgm:t>
        <a:bodyPr/>
        <a:lstStyle/>
        <a:p>
          <a:pPr algn="ctr"/>
          <a:endParaRPr lang="id-ID"/>
        </a:p>
      </dgm:t>
    </dgm:pt>
    <dgm:pt modelId="{748CDF66-497C-4A07-8485-FFCDCCC1933B}" type="pres">
      <dgm:prSet presAssocID="{A87E9472-E6BA-42F8-813B-91FF8CB48301}" presName="Name0" presStyleCnt="0">
        <dgm:presLayoutVars>
          <dgm:dir/>
          <dgm:resizeHandles val="exact"/>
        </dgm:presLayoutVars>
      </dgm:prSet>
      <dgm:spPr/>
    </dgm:pt>
    <dgm:pt modelId="{D8500866-4B43-47F7-88C8-49F4331884E7}" type="pres">
      <dgm:prSet presAssocID="{734BF98E-A9F9-48F1-81CB-438FBCF2219F}" presName="node" presStyleLbl="node1" presStyleIdx="0" presStyleCnt="2">
        <dgm:presLayoutVars>
          <dgm:bulletEnabled val="1"/>
        </dgm:presLayoutVars>
      </dgm:prSet>
      <dgm:spPr/>
      <dgm:t>
        <a:bodyPr/>
        <a:lstStyle/>
        <a:p>
          <a:endParaRPr lang="id-ID"/>
        </a:p>
      </dgm:t>
    </dgm:pt>
    <dgm:pt modelId="{B293872C-7532-49C3-9FB9-B9866C074347}" type="pres">
      <dgm:prSet presAssocID="{E71FB804-F890-401F-9B7A-B127138DC469}" presName="sibTrans" presStyleLbl="sibTrans2D1" presStyleIdx="0" presStyleCnt="1"/>
      <dgm:spPr/>
      <dgm:t>
        <a:bodyPr/>
        <a:lstStyle/>
        <a:p>
          <a:endParaRPr lang="id-ID"/>
        </a:p>
      </dgm:t>
    </dgm:pt>
    <dgm:pt modelId="{4A6AD63B-F575-4961-B3D4-3C49190C31A3}" type="pres">
      <dgm:prSet presAssocID="{E71FB804-F890-401F-9B7A-B127138DC469}" presName="connectorText" presStyleLbl="sibTrans2D1" presStyleIdx="0" presStyleCnt="1"/>
      <dgm:spPr/>
      <dgm:t>
        <a:bodyPr/>
        <a:lstStyle/>
        <a:p>
          <a:endParaRPr lang="id-ID"/>
        </a:p>
      </dgm:t>
    </dgm:pt>
    <dgm:pt modelId="{A73E9D5B-035B-4683-9954-BF05C902F428}" type="pres">
      <dgm:prSet presAssocID="{82705AAB-952E-4016-A1E9-E2BD8762627A}" presName="node" presStyleLbl="node1" presStyleIdx="1" presStyleCnt="2">
        <dgm:presLayoutVars>
          <dgm:bulletEnabled val="1"/>
        </dgm:presLayoutVars>
      </dgm:prSet>
      <dgm:spPr/>
      <dgm:t>
        <a:bodyPr/>
        <a:lstStyle/>
        <a:p>
          <a:endParaRPr lang="id-ID"/>
        </a:p>
      </dgm:t>
    </dgm:pt>
  </dgm:ptLst>
  <dgm:cxnLst>
    <dgm:cxn modelId="{376D4443-4822-4BA7-970F-817FA60E8E85}" type="presOf" srcId="{82705AAB-952E-4016-A1E9-E2BD8762627A}" destId="{A73E9D5B-035B-4683-9954-BF05C902F428}" srcOrd="0" destOrd="0" presId="urn:microsoft.com/office/officeart/2005/8/layout/process1"/>
    <dgm:cxn modelId="{61F53A85-76B6-43B0-B2DE-CB07B0DE3A06}" type="presOf" srcId="{E71FB804-F890-401F-9B7A-B127138DC469}" destId="{4A6AD63B-F575-4961-B3D4-3C49190C31A3}" srcOrd="1" destOrd="0" presId="urn:microsoft.com/office/officeart/2005/8/layout/process1"/>
    <dgm:cxn modelId="{8936A417-AC01-4ABB-855E-6C44D39EDC0A}" type="presOf" srcId="{734BF98E-A9F9-48F1-81CB-438FBCF2219F}" destId="{D8500866-4B43-47F7-88C8-49F4331884E7}" srcOrd="0" destOrd="0" presId="urn:microsoft.com/office/officeart/2005/8/layout/process1"/>
    <dgm:cxn modelId="{2BB10D01-6452-4F97-8AA6-2AFF889297DF}" srcId="{A87E9472-E6BA-42F8-813B-91FF8CB48301}" destId="{82705AAB-952E-4016-A1E9-E2BD8762627A}" srcOrd="1" destOrd="0" parTransId="{D7A7B7A5-A1B0-45C6-8E71-8FDE8002D0A2}" sibTransId="{9D0EA84B-45CB-420D-A275-0601A9C71E19}"/>
    <dgm:cxn modelId="{D9F498DA-AC74-4D45-88C4-FB6A3EA77482}" type="presOf" srcId="{A87E9472-E6BA-42F8-813B-91FF8CB48301}" destId="{748CDF66-497C-4A07-8485-FFCDCCC1933B}" srcOrd="0" destOrd="0" presId="urn:microsoft.com/office/officeart/2005/8/layout/process1"/>
    <dgm:cxn modelId="{DBD3728C-84C6-4172-A45E-79CDF57699AB}" srcId="{A87E9472-E6BA-42F8-813B-91FF8CB48301}" destId="{734BF98E-A9F9-48F1-81CB-438FBCF2219F}" srcOrd="0" destOrd="0" parTransId="{29A774CD-5DC5-4F90-BD61-BA0552EB5A3D}" sibTransId="{E71FB804-F890-401F-9B7A-B127138DC469}"/>
    <dgm:cxn modelId="{7A13A88C-169E-475D-B76E-2E744870820E}" type="presOf" srcId="{E71FB804-F890-401F-9B7A-B127138DC469}" destId="{B293872C-7532-49C3-9FB9-B9866C074347}" srcOrd="0" destOrd="0" presId="urn:microsoft.com/office/officeart/2005/8/layout/process1"/>
    <dgm:cxn modelId="{3A5A63FA-FB22-4684-9DA0-B3FD9D4E2062}" type="presParOf" srcId="{748CDF66-497C-4A07-8485-FFCDCCC1933B}" destId="{D8500866-4B43-47F7-88C8-49F4331884E7}" srcOrd="0" destOrd="0" presId="urn:microsoft.com/office/officeart/2005/8/layout/process1"/>
    <dgm:cxn modelId="{3F36BFA1-C935-46F0-9AA0-866906E30E54}" type="presParOf" srcId="{748CDF66-497C-4A07-8485-FFCDCCC1933B}" destId="{B293872C-7532-49C3-9FB9-B9866C074347}" srcOrd="1" destOrd="0" presId="urn:microsoft.com/office/officeart/2005/8/layout/process1"/>
    <dgm:cxn modelId="{CD8B2C72-B026-4158-A885-1731951094C7}" type="presParOf" srcId="{B293872C-7532-49C3-9FB9-B9866C074347}" destId="{4A6AD63B-F575-4961-B3D4-3C49190C31A3}" srcOrd="0" destOrd="0" presId="urn:microsoft.com/office/officeart/2005/8/layout/process1"/>
    <dgm:cxn modelId="{98ABB8CA-C728-4AF5-BDB5-B357886FD147}" type="presParOf" srcId="{748CDF66-497C-4A07-8485-FFCDCCC1933B}" destId="{A73E9D5B-035B-4683-9954-BF05C902F428}" srcOrd="2" destOrd="0" presId="urn:microsoft.com/office/officeart/2005/8/layout/process1"/>
  </dgm:cxnLst>
  <dgm:bg/>
  <dgm:whole>
    <a:ln w="38100"/>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00866-4B43-47F7-88C8-49F4331884E7}">
      <dsp:nvSpPr>
        <dsp:cNvPr id="0" name=""/>
        <dsp:cNvSpPr/>
      </dsp:nvSpPr>
      <dsp:spPr>
        <a:xfrm>
          <a:off x="3456" y="0"/>
          <a:ext cx="2104525" cy="495300"/>
        </a:xfrm>
        <a:prstGeom prst="roundRect">
          <a:avLst>
            <a:gd name="adj" fmla="val 10000"/>
          </a:avLst>
        </a:prstGeom>
        <a:solidFill>
          <a:schemeClr val="lt1">
            <a:hueOff val="0"/>
            <a:satOff val="0"/>
            <a:lumOff val="0"/>
            <a:alphaOff val="0"/>
          </a:scheme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Indicator: legal access area</a:t>
          </a: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Function: Regulators </a:t>
          </a:r>
        </a:p>
      </dsp:txBody>
      <dsp:txXfrm>
        <a:off x="17963" y="14507"/>
        <a:ext cx="2075511" cy="466286"/>
      </dsp:txXfrm>
    </dsp:sp>
    <dsp:sp modelId="{B293872C-7532-49C3-9FB9-B9866C074347}">
      <dsp:nvSpPr>
        <dsp:cNvPr id="0" name=""/>
        <dsp:cNvSpPr/>
      </dsp:nvSpPr>
      <dsp:spPr>
        <a:xfrm>
          <a:off x="2318434" y="0"/>
          <a:ext cx="446159" cy="495300"/>
        </a:xfrm>
        <a:prstGeom prst="rightArrow">
          <a:avLst>
            <a:gd name="adj1" fmla="val 60000"/>
            <a:gd name="adj2" fmla="val 50000"/>
          </a:avLst>
        </a:prstGeom>
        <a:noFill/>
        <a:ln w="19050">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id-ID" sz="2100" kern="1200"/>
        </a:p>
      </dsp:txBody>
      <dsp:txXfrm>
        <a:off x="2318434" y="99060"/>
        <a:ext cx="312311" cy="297180"/>
      </dsp:txXfrm>
    </dsp:sp>
    <dsp:sp modelId="{A73E9D5B-035B-4683-9954-BF05C902F428}">
      <dsp:nvSpPr>
        <dsp:cNvPr id="0" name=""/>
        <dsp:cNvSpPr/>
      </dsp:nvSpPr>
      <dsp:spPr>
        <a:xfrm>
          <a:off x="2949792" y="0"/>
          <a:ext cx="2104525" cy="495300"/>
        </a:xfrm>
        <a:prstGeom prst="roundRect">
          <a:avLst>
            <a:gd name="adj" fmla="val 10000"/>
          </a:avLst>
        </a:prstGeom>
        <a:solidFill>
          <a:schemeClr val="lt1">
            <a:hueOff val="0"/>
            <a:satOff val="0"/>
            <a:lumOff val="0"/>
            <a:alphaOff val="0"/>
          </a:scheme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Indicator: state revenue</a:t>
          </a: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Function: Facilitator</a:t>
          </a:r>
          <a:endParaRPr lang="id-ID" sz="1200" b="1" kern="1200">
            <a:latin typeface="Times New Roman" panose="02020603050405020304" pitchFamily="18" charset="0"/>
            <a:cs typeface="Times New Roman" panose="02020603050405020304" pitchFamily="18" charset="0"/>
          </a:endParaRPr>
        </a:p>
      </dsp:txBody>
      <dsp:txXfrm>
        <a:off x="2964299" y="14507"/>
        <a:ext cx="2075511" cy="46628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1CF4-A1E7-448E-9050-DF1A9B9B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19218</Words>
  <Characters>109549</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Harbi</dc:creator>
  <cp:keywords/>
  <dc:description/>
  <cp:lastModifiedBy>acer</cp:lastModifiedBy>
  <cp:revision>85</cp:revision>
  <dcterms:created xsi:type="dcterms:W3CDTF">2019-03-26T04:25:00Z</dcterms:created>
  <dcterms:modified xsi:type="dcterms:W3CDTF">2019-03-30T03:25:00Z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877bc7f4-2f4e-399a-a54a-fc61aecfe368</vt:lpwstr>
  </property>
  <property fmtid="{D5CDD505-2E9C-101B-9397-08002B2CF9AE}" pid="4" name="Mendeley Citation Style_1">
    <vt:lpwstr>http://www.zotero.org/styles/ieee</vt:lpwstr>
  </property>
</Properties>
</file>